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>
          <w:sz w:val="22"/>
        </w:rPr>
      </w:pPr>
      <w:r>
        <w:rPr>
          <w:rFonts w:ascii="Calibri" w:hAnsi="Calibri"/>
          <w:b/>
          <w:i w:val="false"/>
          <w:color w:val="1E1E1E"/>
          <w:sz w:val="22"/>
        </w:rPr>
        <w:t>Fabrice Rimlinger</w:t>
      </w:r>
    </w:p>
    <w:p>
      <w:pPr>
        <w:pStyle w:val="Normal"/>
        <w:spacing w:before="0" w:after="40"/>
        <w:rPr>
          <w:sz w:val="16"/>
        </w:rPr>
      </w:pPr>
      <w:r>
        <w:rPr>
          <w:rFonts w:ascii="Calibri" w:hAnsi="Calibri"/>
          <w:b w:val="false"/>
          <w:i w:val="false"/>
          <w:color w:val="646464"/>
          <w:sz w:val="16"/>
        </w:rPr>
        <w:t>fabrice@rimlinger.eu  |  +33 (0)6 23 57 77 85  |  linkedin.com/in/fabricerimlinger</w:t>
      </w:r>
    </w:p>
    <w:p>
      <w:pPr>
        <w:pStyle w:val="Normal"/>
        <w:spacing w:before="0" w:after="240"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Marseille, le 25 mai 2026</w:t>
      </w:r>
    </w:p>
    <w:p>
      <w:pPr>
        <w:pStyle w:val="Normal"/>
        <w:spacing w:before="0" w:after="20"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À l'attention de Jules Thevenod</w:t>
      </w:r>
    </w:p>
    <w:p>
      <w:pPr>
        <w:pStyle w:val="Normal"/>
        <w:spacing w:before="0" w:after="20"/>
        <w:rPr>
          <w:rFonts w:ascii="Calibri" w:hAnsi="Calibri"/>
          <w:b w:val="false"/>
          <w:i w:val="false"/>
          <w:i w:val="false"/>
          <w:color w:val="1E1E1E"/>
        </w:rPr>
      </w:pPr>
      <w:r>
        <w:rPr>
          <w:sz w:val="18"/>
        </w:rPr>
      </w:r>
    </w:p>
    <w:p>
      <w:pPr>
        <w:pStyle w:val="Normal"/>
        <w:spacing w:before="0" w:after="240"/>
        <w:rPr>
          <w:sz w:val="18"/>
        </w:rPr>
      </w:pPr>
      <w:r>
        <w:rPr>
          <w:rFonts w:ascii="Calibri" w:hAnsi="Calibri"/>
          <w:b/>
          <w:i w:val="false"/>
          <w:color w:val="00467F"/>
          <w:sz w:val="18"/>
        </w:rPr>
        <w:t>Objet : Candidature au poste de Directeur Général — MINT Bikes</w:t>
      </w:r>
    </w:p>
    <w:p>
      <w:pPr>
        <w:pStyle w:val="Normal"/>
        <w:spacing w:lineRule="exact" w:line="280" w:before="0" w:after="200"/>
        <w:ind w:hanging="0"/>
        <w:rPr>
          <w:sz w:val="18"/>
        </w:rPr>
      </w:pPr>
      <w:r>
        <w:rPr>
          <w:rFonts w:ascii="Calibri" w:hAnsi="Calibri"/>
          <w:b w:val="false"/>
          <w:i w:val="false"/>
          <w:color w:val="1E1E1E"/>
          <w:sz w:val="18"/>
        </w:rPr>
        <w:t>Jules,</w:t>
      </w:r>
    </w:p>
    <w:p>
      <w:pPr>
        <w:pStyle w:val="Normal"/>
        <w:spacing w:lineRule="exact" w:line="280" w:before="0" w:after="160"/>
        <w:ind w:hanging="0"/>
        <w:rPr>
          <w:sz w:val="18"/>
        </w:rPr>
      </w:pPr>
      <w:r>
        <w:rPr>
          <w:rFonts w:ascii="Calibri" w:hAnsi="Calibri"/>
          <w:b w:val="false"/>
          <w:i w:val="false"/>
          <w:color w:val="1E1E1E"/>
          <w:sz w:val="18"/>
        </w:rPr>
        <w:t>En 2023, MINT Bikes a levé 3M€ avec un objectif clair : passer de l'artisanal à l'industriel, 10 000 vélos par an, 20M€ de CA. C'est exactement le type de défi opérationnel que j'ai construit au fil de 20 ans : transformer une organisation qui tourne bien en une organisation qui scale. J'ai piloté le déploiement de 15 stations de livraison Amazon lancées en 2 ans, de zéro, structuré la performance opérationnelle et le Service Client de Colis Privé (250 000 livraisons B2C par jour), et managé l'intégration de 300 personnes post-acquisition sans une journée d'interruption opérationnelle. Je veux apporter cette capacité d'exécution à MINT Bikes.</w:t>
      </w:r>
    </w:p>
    <w:p>
      <w:pPr>
        <w:pStyle w:val="Normal"/>
        <w:spacing w:lineRule="exact" w:line="280" w:before="0" w:after="160"/>
        <w:ind w:hanging="0"/>
        <w:rPr>
          <w:sz w:val="18"/>
        </w:rPr>
      </w:pPr>
      <w:r>
        <w:rPr>
          <w:rFonts w:ascii="Calibri" w:hAnsi="Calibri"/>
          <w:b w:val="false"/>
          <w:i w:val="false"/>
          <w:color w:val="1E1E1E"/>
          <w:sz w:val="18"/>
        </w:rPr>
        <w:t xml:space="preserve">Ce qui m'a décidé à postuler, c'est d'abord le produit. Je suis cycliste depuis 30 ans - ancien compétiteur Elite, et pratiquant route et VTT. J'ai acheté et vendu des vélos d'occasion moi-même, sur Troc-Vélo notamment, avec son lot de surprises : descriptions approximatives, état réel difficile à évaluer à distance, vendeurs peu fiables, transactions qui déraillent. Je </w:t>
      </w:r>
      <w:r>
        <w:rPr>
          <w:rFonts w:ascii="Calibri" w:hAnsi="Calibri"/>
          <w:b w:val="false"/>
          <w:i w:val="false"/>
          <w:color w:val="1E1E1E"/>
          <w:sz w:val="18"/>
        </w:rPr>
        <w:t>comprends</w:t>
      </w:r>
      <w:r>
        <w:rPr>
          <w:rFonts w:ascii="Calibri" w:hAnsi="Calibri"/>
          <w:b w:val="false"/>
          <w:i w:val="false"/>
          <w:color w:val="1E1E1E"/>
          <w:sz w:val="18"/>
        </w:rPr>
        <w:t xml:space="preserve"> pourquoi votre proposition fait sens pour l'acheteur - et je sais aussi ce que vous devez tenir opérationnellement pour que la promesse (vélo garanti, reconditionné à la perfection, livré en état) ne ressemble pas à ce que j'ai vécu sur le marché de l'occasion.</w:t>
      </w:r>
    </w:p>
    <w:p>
      <w:pPr>
        <w:pStyle w:val="Normal"/>
        <w:spacing w:lineRule="exact" w:line="280" w:before="0" w:after="160"/>
        <w:ind w:hanging="0"/>
        <w:rPr>
          <w:sz w:val="18"/>
        </w:rPr>
      </w:pPr>
      <w:r>
        <w:rPr>
          <w:rFonts w:ascii="Calibri" w:hAnsi="Calibri"/>
          <w:b w:val="false"/>
          <w:i w:val="false"/>
          <w:color w:val="1E1E1E"/>
          <w:sz w:val="18"/>
        </w:rPr>
        <w:t>Concrètement, je vois trois goulets d'étranglement à résoudre pour passer de 150 à 833 vélos par mois. Le Customer Service acheteurs et vendeurs : à ce volume, les contacts explosent - garantie, retours, reprises, SAV. J'ai réduit ce poste de 20% (550k€/an) chez Colis Privé via RPA et call bots, tout en améliorant le service de 30%. 8 ans chez Amazon m'ont appris que la référence en matière d'expérience client - retour sans question, livraison incluse, friction zéro - n'est pas une option premium mais une condition de fidélisation. C'est ce niveau d'exigence que je veux apporter à MINT. La formation et l'intégration des mécaniciens : recruter 20 techniciens compétents et les former sans dégrader la qualité de reconditionnement qui est votre promesse, c'est un chantier que je sais structurer - j'ai fait suffisamment de gemba walks dans les entrepôts Amazon pour savoir que la qualité se joue sur le terrain, pas dans les slides. La logistique de livraison à l'échelle : des centaines de vélos acheminés en 4-7 jours sur toute la France, c'est le genre de challenge qui me motive depuis 20 ans. Je travaillerai en binôme avec vous sur la vision et l'exécution - pas à côté de vous.</w:t>
      </w:r>
    </w:p>
    <w:p>
      <w:pPr>
        <w:pStyle w:val="Normal"/>
        <w:spacing w:lineRule="exact" w:line="280" w:before="0" w:after="160"/>
        <w:ind w:hanging="0"/>
        <w:rPr>
          <w:sz w:val="18"/>
        </w:rPr>
      </w:pPr>
      <w:r>
        <w:rPr>
          <w:rFonts w:ascii="Calibri" w:hAnsi="Calibri"/>
          <w:b w:val="false"/>
          <w:i w:val="false"/>
          <w:color w:val="1E1E1E"/>
          <w:sz w:val="18"/>
        </w:rPr>
        <w:t>Je serais heureux d'en discuter à Aix-en-Provence à votre convenance.</w:t>
      </w:r>
    </w:p>
    <w:p>
      <w:pPr>
        <w:pStyle w:val="Normal"/>
        <w:spacing w:before="280" w:after="40"/>
        <w:rPr>
          <w:sz w:val="18"/>
        </w:rPr>
      </w:pPr>
      <w:r>
        <w:rPr>
          <w:rFonts w:ascii="Calibri" w:hAnsi="Calibri"/>
          <w:b/>
          <w:i w:val="false"/>
          <w:color w:val="1E1E1E"/>
          <w:sz w:val="18"/>
        </w:rPr>
        <w:t>Fabrice Rimlinger</w:t>
      </w:r>
    </w:p>
    <w:p>
      <w:pPr>
        <w:pStyle w:val="Normal"/>
        <w:spacing w:before="0" w:after="60"/>
        <w:jc w:val="center"/>
        <w:rPr>
          <w:rFonts w:ascii="Calibri" w:hAnsi="Calibri"/>
          <w:b/>
          <w:i w:val="false"/>
          <w:i w:val="false"/>
          <w:color w:val="00467F"/>
        </w:rPr>
      </w:pPr>
      <w:r>
        <w:rPr>
          <w:sz w:val="32"/>
        </w:rPr>
      </w:r>
      <w:r>
        <w:br w:type="page"/>
      </w:r>
    </w:p>
    <w:p>
      <w:pPr>
        <w:pStyle w:val="Normal"/>
        <w:spacing w:before="0" w:after="60"/>
        <w:jc w:val="center"/>
        <w:rPr>
          <w:sz w:val="32"/>
        </w:rPr>
      </w:pPr>
      <w:r>
        <w:rPr>
          <w:rFonts w:ascii="Calibri" w:hAnsi="Calibri"/>
          <w:b/>
          <w:i w:val="false"/>
          <w:color w:val="00467F"/>
          <w:sz w:val="32"/>
        </w:rPr>
        <w:t>FABRICE RIMLINGER</w:t>
      </w:r>
    </w:p>
    <w:p>
      <w:pPr>
        <w:pStyle w:val="Normal"/>
        <w:spacing w:before="0" w:after="160"/>
        <w:jc w:val="center"/>
        <w:rPr>
          <w:sz w:val="15"/>
        </w:rPr>
      </w:pPr>
      <w:r>
        <w:rPr>
          <w:rFonts w:ascii="Calibri" w:hAnsi="Calibri"/>
          <w:b w:val="false"/>
          <w:i w:val="false"/>
          <w:color w:val="646464"/>
          <w:sz w:val="15"/>
        </w:rPr>
        <w:t>fabrice@rimlinger.eu  |  +33 (0)6 23 57 77 85  |  linkedin.com/in/fabricerimlinger  |  Marseille</w:t>
      </w:r>
    </w:p>
    <w:p>
      <w:pPr>
        <w:pStyle w:val="Normal"/>
        <w:spacing w:before="200" w:after="40"/>
        <w:rPr>
          <w:sz w:val="22"/>
        </w:rPr>
      </w:pPr>
      <w:r>
        <w:rPr>
          <w:rFonts w:ascii="Calibri" w:hAnsi="Calibri"/>
          <w:b/>
          <w:i w:val="false"/>
          <w:color w:val="00467F"/>
          <w:sz w:val="22"/>
        </w:rPr>
        <w:t>PROFIL</w:t>
      </w:r>
    </w:p>
    <w:p>
      <w:pPr>
        <w:pStyle w:val="Normal"/>
        <w:spacing w:lineRule="exact" w:line="260" w:before="20" w:after="60"/>
        <w:rPr>
          <w:sz w:val="18"/>
        </w:rPr>
      </w:pPr>
      <w:r>
        <w:rPr>
          <w:rFonts w:ascii="Calibri" w:hAnsi="Calibri"/>
          <w:b w:val="false"/>
          <w:i w:val="false"/>
          <w:color w:val="1E1E1E"/>
          <w:sz w:val="17"/>
        </w:rPr>
        <w:t xml:space="preserve">Directeur opérationnel avec </w:t>
      </w:r>
      <w:r>
        <w:rPr>
          <w:rFonts w:ascii="Calibri" w:hAnsi="Calibri"/>
          <w:b w:val="false"/>
          <w:i w:val="false"/>
          <w:color w:val="1E1E1E"/>
          <w:sz w:val="17"/>
        </w:rPr>
        <w:t xml:space="preserve">plus de </w:t>
      </w:r>
      <w:r>
        <w:rPr>
          <w:rFonts w:ascii="Calibri" w:hAnsi="Calibri"/>
          <w:b w:val="false"/>
          <w:i w:val="false"/>
          <w:color w:val="1E1E1E"/>
          <w:sz w:val="17"/>
        </w:rPr>
        <w:t>20 ans dans la gestion d'équipes en croissance, la structuration des opérations et la transformation à fort impact. J'ai dirigé des organisations B2C à forts volumes (Amazon Logistics, Colis Privé - 250 000 livraisons/jour) et co-construit les processus, outils data et organisations qui permettent la montée en échelle sans dégradation de la qualité. 10 ans dans l'écosystème Amazon : exposition directe aux standards Prime (friction zéro, retour sans question) - c'est le niveau d'exigence que j'apporte à MINT Bikes.</w:t>
      </w:r>
    </w:p>
    <w:p>
      <w:pPr>
        <w:pStyle w:val="Normal"/>
        <w:spacing w:before="200" w:after="40"/>
        <w:rPr>
          <w:sz w:val="22"/>
        </w:rPr>
      </w:pPr>
      <w:r>
        <w:rPr>
          <w:rFonts w:ascii="Calibri" w:hAnsi="Calibri"/>
          <w:b/>
          <w:i w:val="false"/>
          <w:color w:val="00467F"/>
          <w:sz w:val="22"/>
        </w:rPr>
        <w:t>EXPÉRIENCES CLÉS</w:t>
      </w:r>
    </w:p>
    <w:p>
      <w:pPr>
        <w:pStyle w:val="Normal"/>
        <w:spacing w:before="160" w:after="20"/>
        <w:rPr>
          <w:sz w:val="18"/>
        </w:rPr>
      </w:pPr>
      <w:r>
        <w:rPr>
          <w:rFonts w:ascii="Calibri" w:hAnsi="Calibri"/>
          <w:b/>
          <w:i w:val="false"/>
          <w:color w:val="1E1E1E"/>
          <w:sz w:val="18"/>
        </w:rPr>
        <w:t>Director Business Excellence  -  Colis Privé (filiale CEVA Logistics / Groupe CMA CGM)</w:t>
      </w:r>
    </w:p>
    <w:p>
      <w:pPr>
        <w:pStyle w:val="Normal"/>
        <w:spacing w:before="0" w:after="20"/>
        <w:rPr>
          <w:sz w:val="16"/>
        </w:rPr>
      </w:pPr>
      <w:r>
        <w:rPr>
          <w:rFonts w:ascii="Calibri" w:hAnsi="Calibri"/>
          <w:b w:val="false"/>
          <w:i w:val="false"/>
          <w:color w:val="00467F"/>
          <w:sz w:val="16"/>
        </w:rPr>
        <w:t>05/2024 - 02/2026  |  Marseille</w:t>
      </w:r>
    </w:p>
    <w:p>
      <w:pPr>
        <w:pStyle w:val="Normal"/>
        <w:spacing w:before="0" w:after="60"/>
        <w:rPr>
          <w:sz w:val="15"/>
        </w:rPr>
      </w:pPr>
      <w:r>
        <w:rPr>
          <w:rFonts w:ascii="Calibri" w:hAnsi="Calibri"/>
          <w:b w:val="false"/>
          <w:i/>
          <w:color w:val="646464"/>
          <w:sz w:val="15"/>
        </w:rPr>
        <w:t>Livraisons B2C, 375M€ CA, 90+ millions de colis/an, 250-300 000 colis/jour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Membre du CODIR, j</w:t>
      </w:r>
      <w:r>
        <w:rPr>
          <w:rFonts w:ascii="Calibri" w:hAnsi="Calibri"/>
          <w:b w:val="false"/>
          <w:i w:val="false"/>
          <w:color w:val="1E1E1E"/>
          <w:sz w:val="17"/>
        </w:rPr>
        <w:t>'ai dirigé une équipe de 25 personnes en charge de la performance interne (opérations) et externe (expérience client “</w:t>
      </w:r>
      <w:r>
        <w:rPr>
          <w:rFonts w:ascii="Calibri" w:hAnsi="Calibri"/>
          <w:b w:val="false"/>
          <w:i w:val="false"/>
          <w:color w:val="1E1E1E"/>
          <w:sz w:val="17"/>
        </w:rPr>
        <w:t>Chargeurs” et “Destinataires”</w:t>
      </w:r>
      <w:r>
        <w:rPr>
          <w:rFonts w:ascii="Calibri" w:hAnsi="Calibri"/>
          <w:b w:val="false"/>
          <w:i w:val="false"/>
          <w:color w:val="1E1E1E"/>
          <w:sz w:val="17"/>
        </w:rPr>
        <w:t xml:space="preserve"> B2C).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J'ai réduit le budget Service Client de 20% (550k€/an économisés) malgré +7,5% d'activité - via RPA, call bots, IA forecasting : 40% de tâches manuelles éliminées, +30% de niveau de service. Ce dimensionnement CS à l'échelle B2C est le premier goulet d'étranglement dans la croissance d'une plateforme e-commerce : je sais le résoudre avant qu'il déraille.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J'ai piloté la logistique de livraison B2C de bout en bout (carrier management, SLAs, gestion des incidents) pour 250 000-300 000 colis/jour, incluant gestion de crise prestataire avec continuité opérationnelle garantie.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Propriétaire des solutions BI : données avancées, analyse statistique, tableaux de bord de pilotage.</w:t>
      </w:r>
    </w:p>
    <w:p>
      <w:pPr>
        <w:pStyle w:val="Normal"/>
        <w:spacing w:before="160" w:after="20"/>
        <w:rPr>
          <w:sz w:val="18"/>
        </w:rPr>
      </w:pPr>
      <w:r>
        <w:rPr>
          <w:rFonts w:ascii="Calibri" w:hAnsi="Calibri"/>
          <w:b/>
          <w:i w:val="false"/>
          <w:color w:val="1E1E1E"/>
          <w:sz w:val="18"/>
        </w:rPr>
        <w:t>Director of Transformation  -  Colis Privé</w:t>
      </w:r>
    </w:p>
    <w:p>
      <w:pPr>
        <w:pStyle w:val="Normal"/>
        <w:spacing w:before="0" w:after="20"/>
        <w:rPr>
          <w:sz w:val="16"/>
        </w:rPr>
      </w:pPr>
      <w:r>
        <w:rPr>
          <w:rFonts w:ascii="Calibri" w:hAnsi="Calibri"/>
          <w:b w:val="false"/>
          <w:i w:val="false"/>
          <w:color w:val="00467F"/>
          <w:sz w:val="16"/>
        </w:rPr>
        <w:t>07/2023 - 04/2024  |  Marseille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J'ai conduit l'intégration de 300 employés post-acquisition (Milee) : négociations juridiques, risk management, modélisation P&amp;L, continuité opérationnelle garantie (250 000 livraisons/jour sans interruption).</w:t>
      </w:r>
    </w:p>
    <w:p>
      <w:pPr>
        <w:pStyle w:val="Normal"/>
        <w:spacing w:before="160" w:after="20"/>
        <w:rPr>
          <w:sz w:val="18"/>
        </w:rPr>
      </w:pPr>
      <w:r>
        <w:rPr>
          <w:rFonts w:ascii="Calibri" w:hAnsi="Calibri"/>
          <w:b/>
          <w:i w:val="false"/>
          <w:color w:val="1E1E1E"/>
          <w:sz w:val="18"/>
        </w:rPr>
        <w:t>Head of Last Mile Delivery Expansion South EU  -  Amazon Logistics</w:t>
      </w:r>
    </w:p>
    <w:p>
      <w:pPr>
        <w:pStyle w:val="Normal"/>
        <w:spacing w:before="0" w:after="20"/>
        <w:rPr>
          <w:sz w:val="16"/>
        </w:rPr>
      </w:pPr>
      <w:r>
        <w:rPr>
          <w:rFonts w:ascii="Calibri" w:hAnsi="Calibri"/>
          <w:b w:val="false"/>
          <w:i w:val="false"/>
          <w:color w:val="00467F"/>
          <w:sz w:val="16"/>
        </w:rPr>
        <w:t>04/2016 - 09/2018  |  Milan / Madrid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15 stations lancées en 2 ans (IT + ES), toutes opérationnelles pour la peak season. AMZL assure ensuite &gt;75% des livraisons Amazon dans les principales villes IT/ES - de 0% à leader en 2 ans.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5 launch managers managés, 19 équipes transversales coordonnées. Création du Launch Playbook AMZL et structuration du plan d'expansion EU sur 3 ans.</w:t>
      </w:r>
    </w:p>
    <w:p>
      <w:pPr>
        <w:pStyle w:val="Normal"/>
        <w:spacing w:before="160" w:after="20"/>
        <w:rPr>
          <w:sz w:val="18"/>
        </w:rPr>
      </w:pPr>
      <w:r>
        <w:rPr>
          <w:rFonts w:ascii="Calibri" w:hAnsi="Calibri"/>
          <w:b/>
          <w:i w:val="false"/>
          <w:color w:val="1E1E1E"/>
          <w:sz w:val="18"/>
        </w:rPr>
        <w:t>Senior Manager Supply Chain Long-term Planning  -  Amazon</w:t>
      </w:r>
    </w:p>
    <w:p>
      <w:pPr>
        <w:pStyle w:val="Normal"/>
        <w:spacing w:before="0" w:after="20"/>
        <w:rPr>
          <w:sz w:val="16"/>
        </w:rPr>
      </w:pPr>
      <w:r>
        <w:rPr>
          <w:rFonts w:ascii="Calibri" w:hAnsi="Calibri"/>
          <w:b w:val="false"/>
          <w:i w:val="false"/>
          <w:color w:val="00467F"/>
          <w:sz w:val="16"/>
        </w:rPr>
        <w:t>08/2022 - 07/2023  |  Luxembourg (Remote)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J'ai défini le SOP d'expansion Amazon Fulfilment et Amazon Logistics sur 36 mois pour l'ensemble des activités EU. Pilotage de projets pilotes sur la réaffectation de 80+ bâtiments Amazon à travers l'EU.</w:t>
      </w:r>
    </w:p>
    <w:p>
      <w:pPr>
        <w:pStyle w:val="Normal"/>
        <w:spacing w:before="160" w:after="20"/>
        <w:rPr>
          <w:sz w:val="18"/>
        </w:rPr>
      </w:pPr>
      <w:r>
        <w:rPr>
          <w:rFonts w:ascii="Calibri" w:hAnsi="Calibri"/>
          <w:b/>
          <w:i w:val="false"/>
          <w:color w:val="1E1E1E"/>
          <w:sz w:val="18"/>
        </w:rPr>
        <w:t>Director of Expansion &amp; Industrial Integration  -  Infarm</w:t>
      </w:r>
    </w:p>
    <w:p>
      <w:pPr>
        <w:pStyle w:val="Normal"/>
        <w:spacing w:before="0" w:after="20"/>
        <w:rPr>
          <w:sz w:val="16"/>
        </w:rPr>
      </w:pPr>
      <w:r>
        <w:rPr>
          <w:rFonts w:ascii="Calibri" w:hAnsi="Calibri"/>
          <w:b w:val="false"/>
          <w:i w:val="false"/>
          <w:color w:val="00467F"/>
          <w:sz w:val="16"/>
        </w:rPr>
        <w:t>06/2021 - 07/2022  |  Berlin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CAPEX 72M€ pour le déploiement d'infrastructures d'agriculture verticale dans 4 pays EU (DE, UK, DK, FR). Équipe de 16 ingénieurs et techniciens avec programmes de formation et de mentoring structurés.</w:t>
      </w:r>
    </w:p>
    <w:p>
      <w:pPr>
        <w:pStyle w:val="Normal"/>
        <w:spacing w:before="160" w:after="20"/>
        <w:rPr>
          <w:sz w:val="18"/>
        </w:rPr>
      </w:pPr>
      <w:r>
        <w:rPr>
          <w:rFonts w:ascii="Calibri" w:hAnsi="Calibri"/>
          <w:b/>
          <w:i w:val="false"/>
          <w:color w:val="1E1E1E"/>
          <w:sz w:val="18"/>
        </w:rPr>
        <w:t>Head of Technical &amp; Environmental Real Estate Due Diligence EMEA  -  Amazon</w:t>
      </w:r>
    </w:p>
    <w:p>
      <w:pPr>
        <w:pStyle w:val="Normal"/>
        <w:spacing w:before="0" w:after="20"/>
        <w:rPr>
          <w:sz w:val="16"/>
        </w:rPr>
      </w:pPr>
      <w:r>
        <w:rPr>
          <w:rFonts w:ascii="Calibri" w:hAnsi="Calibri"/>
          <w:b w:val="false"/>
          <w:i w:val="false"/>
          <w:color w:val="00467F"/>
          <w:sz w:val="16"/>
        </w:rPr>
        <w:t>10/2018 - 08/2021  |  Aix-en-Provence (Remote)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1 200+ Due Diligence annuelles, budget 40M€/an, 10 risk managers et 30+ consultants. Conception et déploiement de SHIELD - plateforme BI globale adoptée par l'ensemble des parties prenantes Amazon EMEA.</w:t>
      </w:r>
    </w:p>
    <w:p>
      <w:pPr>
        <w:pStyle w:val="ListBullet"/>
        <w:numPr>
          <w:ilvl w:val="0"/>
          <w:numId w:val="0"/>
        </w:numPr>
        <w:spacing w:lineRule="exact" w:line="260" w:before="20" w:after="20"/>
        <w:ind w:hanging="198" w:left="227"/>
        <w:contextualSpacing/>
        <w:rPr>
          <w:rFonts w:ascii="Calibri" w:hAnsi="Calibri"/>
          <w:b w:val="false"/>
          <w:i w:val="false"/>
          <w:i w:val="false"/>
          <w:color w:val="1E1E1E"/>
        </w:rPr>
      </w:pPr>
      <w:r>
        <w:rPr>
          <w:sz w:val="18"/>
        </w:rPr>
      </w:r>
    </w:p>
    <w:p>
      <w:pPr>
        <w:pStyle w:val="Normal"/>
        <w:spacing w:before="160" w:after="20"/>
        <w:rPr>
          <w:rFonts w:ascii="Calibri" w:hAnsi="Calibri"/>
          <w:b/>
          <w:i w:val="false"/>
          <w:i w:val="false"/>
          <w:color w:val="1E1E1E"/>
        </w:rPr>
      </w:pPr>
      <w:r>
        <w:rPr>
          <w:sz w:val="18"/>
        </w:rPr>
      </w:r>
      <w:r>
        <w:br w:type="page"/>
      </w:r>
    </w:p>
    <w:p>
      <w:pPr>
        <w:pStyle w:val="Normal"/>
        <w:spacing w:before="160" w:after="20"/>
        <w:rPr>
          <w:sz w:val="18"/>
        </w:rPr>
      </w:pPr>
      <w:r>
        <w:rPr>
          <w:rFonts w:ascii="Calibri" w:hAnsi="Calibri"/>
          <w:b/>
          <w:i w:val="false"/>
          <w:color w:val="1E1E1E"/>
          <w:sz w:val="18"/>
        </w:rPr>
        <w:t>Owner / Technico-Commercial  -  ColdEnergy France</w:t>
      </w:r>
    </w:p>
    <w:p>
      <w:pPr>
        <w:pStyle w:val="Normal"/>
        <w:spacing w:before="0" w:after="20"/>
        <w:rPr>
          <w:sz w:val="16"/>
        </w:rPr>
      </w:pPr>
      <w:r>
        <w:rPr>
          <w:rFonts w:ascii="Calibri" w:hAnsi="Calibri"/>
          <w:b w:val="false"/>
          <w:i w:val="false"/>
          <w:color w:val="00467F"/>
          <w:sz w:val="16"/>
        </w:rPr>
        <w:t>2012 - 2014  |  Aix-en-Provence</w:t>
      </w:r>
    </w:p>
    <w:p>
      <w:pPr>
        <w:pStyle w:val="Normal"/>
        <w:spacing w:before="0" w:after="60"/>
        <w:rPr>
          <w:sz w:val="15"/>
        </w:rPr>
      </w:pPr>
      <w:r>
        <w:rPr>
          <w:rFonts w:ascii="Calibri" w:hAnsi="Calibri"/>
          <w:b w:val="false"/>
          <w:i/>
          <w:color w:val="646464"/>
          <w:sz w:val="15"/>
        </w:rPr>
        <w:t>CA : 2M€ - Gestion autonome complète (entrepreneur)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J'ai créé et géré en autonomie complète une activité de projets de construction et maintenance de plateformes logistiques réfrigérées en EMEA (Dole, Fruidor, Compagnie Fruitière, Lidl Austria).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J'ai piloté de bout en bout : avant-vente, solution design, chiffrage, gestion de chantier, SAV technique - de la signature au résultat.</w:t>
      </w:r>
    </w:p>
    <w:p>
      <w:pPr>
        <w:pStyle w:val="Normal"/>
        <w:spacing w:before="200" w:after="40"/>
        <w:rPr>
          <w:sz w:val="22"/>
        </w:rPr>
      </w:pPr>
      <w:r>
        <w:rPr>
          <w:rFonts w:ascii="Calibri" w:hAnsi="Calibri"/>
          <w:b/>
          <w:i w:val="false"/>
          <w:color w:val="00467F"/>
          <w:sz w:val="22"/>
        </w:rPr>
        <w:t>COMPÉTENCES</w:t>
      </w:r>
    </w:p>
    <w:p>
      <w:pPr>
        <w:pStyle w:val="Normal"/>
        <w:pBdr>
          <w:bottom w:val="single" w:sz="6" w:space="1" w:color="004680"/>
        </w:pBdr>
        <w:spacing w:before="40" w:after="60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60" w:before="60" w:after="40"/>
        <w:rPr>
          <w:sz w:val="18"/>
        </w:rPr>
      </w:pPr>
      <w:r>
        <w:rPr>
          <w:rFonts w:ascii="Calibri" w:hAnsi="Calibri"/>
          <w:b/>
          <w:i w:val="false"/>
          <w:color w:val="00467F"/>
          <w:sz w:val="17"/>
        </w:rPr>
        <w:t xml:space="preserve">Management et organisation :  </w:t>
      </w:r>
      <w:r>
        <w:rPr>
          <w:rFonts w:ascii="Calibri" w:hAnsi="Calibri"/>
          <w:b w:val="false"/>
          <w:i w:val="false"/>
          <w:color w:val="1E1E1E"/>
          <w:sz w:val="17"/>
        </w:rPr>
        <w:t>Direction d'équipes 5-40 personnes, coordination 15+ équipes transversales, recrutement, onboarding, structuration de l'autonomie. Leadership par adhésion, co-construction avec les fondateurs.</w:t>
      </w:r>
    </w:p>
    <w:p>
      <w:pPr>
        <w:pStyle w:val="Normal"/>
        <w:spacing w:lineRule="exact" w:line="260" w:before="60" w:after="40"/>
        <w:rPr>
          <w:sz w:val="18"/>
        </w:rPr>
      </w:pPr>
      <w:r>
        <w:rPr>
          <w:rFonts w:ascii="Calibri" w:hAnsi="Calibri"/>
          <w:b/>
          <w:i w:val="false"/>
          <w:color w:val="00467F"/>
          <w:sz w:val="17"/>
        </w:rPr>
        <w:t xml:space="preserve">Pilotage de la croissance :  </w:t>
      </w:r>
      <w:r>
        <w:rPr>
          <w:rFonts w:ascii="Calibri" w:hAnsi="Calibri"/>
          <w:b w:val="false"/>
          <w:i w:val="false"/>
          <w:color w:val="1E1E1E"/>
          <w:sz w:val="17"/>
        </w:rPr>
        <w:t>KPIs, budgets, atteinte des objectifs, optimisation des processus, modélisation P&amp;L, développement commercial (expansion, déploiement).</w:t>
      </w:r>
    </w:p>
    <w:p>
      <w:pPr>
        <w:pStyle w:val="Normal"/>
        <w:spacing w:lineRule="exact" w:line="260" w:before="60" w:after="40"/>
        <w:rPr>
          <w:sz w:val="18"/>
        </w:rPr>
      </w:pPr>
      <w:r>
        <w:rPr>
          <w:rFonts w:ascii="Calibri" w:hAnsi="Calibri"/>
          <w:b/>
          <w:i w:val="false"/>
          <w:color w:val="00467F"/>
          <w:sz w:val="17"/>
        </w:rPr>
        <w:t xml:space="preserve">Data et Business Intelligence :  </w:t>
      </w:r>
      <w:r>
        <w:rPr>
          <w:rFonts w:ascii="Calibri" w:hAnsi="Calibri"/>
          <w:b w:val="false"/>
          <w:i w:val="false"/>
          <w:color w:val="1E1E1E"/>
          <w:sz w:val="17"/>
        </w:rPr>
        <w:t>PowerBI, SQL, Excel VBA, Microstrategy, PowerQuery. Conception de plateformes BI (SHIELD Amazon, solutions Colis Privé). Décisions ancrées dans la donnée.</w:t>
      </w:r>
    </w:p>
    <w:p>
      <w:pPr>
        <w:pStyle w:val="Normal"/>
        <w:spacing w:lineRule="exact" w:line="260" w:before="60" w:after="40"/>
        <w:rPr>
          <w:sz w:val="18"/>
        </w:rPr>
      </w:pPr>
      <w:r>
        <w:rPr>
          <w:rFonts w:ascii="Calibri" w:hAnsi="Calibri"/>
          <w:b/>
          <w:i w:val="false"/>
          <w:color w:val="00467F"/>
          <w:sz w:val="17"/>
        </w:rPr>
        <w:t xml:space="preserve">Transformation et scaling :  </w:t>
      </w:r>
      <w:r>
        <w:rPr>
          <w:rFonts w:ascii="Calibri" w:hAnsi="Calibri"/>
          <w:b w:val="false"/>
          <w:i w:val="false"/>
          <w:color w:val="1E1E1E"/>
          <w:sz w:val="17"/>
        </w:rPr>
        <w:t>PMO, intégration post-acquisition (300 personnes), automatisation (RPA, IA, call bots), change management. Passer de l'artisanal à l'industriel.</w:t>
      </w:r>
    </w:p>
    <w:p>
      <w:pPr>
        <w:pStyle w:val="Normal"/>
        <w:spacing w:lineRule="exact" w:line="260" w:before="60" w:after="40"/>
        <w:rPr>
          <w:sz w:val="18"/>
        </w:rPr>
      </w:pPr>
      <w:r>
        <w:rPr>
          <w:rFonts w:ascii="Calibri" w:hAnsi="Calibri"/>
          <w:b/>
          <w:i w:val="false"/>
          <w:color w:val="00467F"/>
          <w:sz w:val="17"/>
        </w:rPr>
        <w:t xml:space="preserve">Expérience client B2C :  </w:t>
      </w:r>
      <w:r>
        <w:rPr>
          <w:rFonts w:ascii="Calibri" w:hAnsi="Calibri"/>
          <w:b w:val="false"/>
          <w:i w:val="false"/>
          <w:color w:val="1E1E1E"/>
          <w:sz w:val="17"/>
        </w:rPr>
        <w:t>Standards Prime Amazon (friction zéro, retour sans question), pilotage NPS/SAV, réduction des contacts par l'automatisation. Gemba walks en entrepôt et en atelier - la qualité se détecte sur le terrain avant les KPIs.</w:t>
      </w:r>
    </w:p>
    <w:p>
      <w:pPr>
        <w:pStyle w:val="Normal"/>
        <w:spacing w:lineRule="exact" w:line="260" w:before="60" w:after="40"/>
        <w:rPr>
          <w:rFonts w:ascii="Calibri" w:hAnsi="Calibri"/>
          <w:b w:val="false"/>
          <w:i w:val="false"/>
          <w:i w:val="false"/>
          <w:color w:val="1E1E1E"/>
          <w:sz w:val="17"/>
        </w:rPr>
      </w:pPr>
      <w:r>
        <w:rPr>
          <w:sz w:val="18"/>
        </w:rPr>
      </w:r>
    </w:p>
    <w:p>
      <w:pPr>
        <w:pStyle w:val="Normal"/>
        <w:spacing w:before="200" w:after="40"/>
        <w:rPr>
          <w:sz w:val="22"/>
        </w:rPr>
      </w:pPr>
      <w:r>
        <w:rPr>
          <w:rFonts w:ascii="Calibri" w:hAnsi="Calibri"/>
          <w:b/>
          <w:i w:val="false"/>
          <w:color w:val="00467F"/>
          <w:sz w:val="22"/>
        </w:rPr>
        <w:t>FORMATION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Ingénieur agronome — INP Toulouse (1991-1994) | Master of Science, Management de l'agroindustrie</w:t>
      </w:r>
    </w:p>
    <w:p>
      <w:pPr>
        <w:pStyle w:val="ListBullet"/>
        <w:numPr>
          <w:ilvl w:val="0"/>
          <w:numId w:val="1"/>
        </w:numPr>
        <w:spacing w:lineRule="exact" w:line="260" w:before="20" w:after="20"/>
        <w:ind w:hanging="198" w:left="227"/>
        <w:contextualSpacing/>
        <w:rPr>
          <w:sz w:val="17"/>
        </w:rPr>
      </w:pPr>
      <w:r>
        <w:rPr>
          <w:rFonts w:ascii="Calibri" w:hAnsi="Calibri"/>
          <w:b w:val="false"/>
          <w:i w:val="false"/>
          <w:color w:val="1E1E1E"/>
          <w:sz w:val="17"/>
        </w:rPr>
        <w:t>Licence Biochimie / Chimie — Université des Sciences de Montpellier (1989-1991)</w:t>
      </w:r>
    </w:p>
    <w:p>
      <w:pPr>
        <w:pStyle w:val="ListBullet"/>
        <w:numPr>
          <w:ilvl w:val="0"/>
          <w:numId w:val="0"/>
        </w:numPr>
        <w:spacing w:lineRule="exact" w:line="260" w:before="20" w:after="20"/>
        <w:ind w:hanging="0" w:left="227"/>
        <w:contextualSpacing/>
        <w:rPr>
          <w:rFonts w:ascii="Calibri" w:hAnsi="Calibri"/>
          <w:b w:val="false"/>
          <w:i w:val="false"/>
          <w:i w:val="false"/>
          <w:color w:val="1E1E1E"/>
        </w:rPr>
      </w:pPr>
      <w:r>
        <w:rPr>
          <w:sz w:val="17"/>
        </w:rPr>
      </w:r>
    </w:p>
    <w:p>
      <w:pPr>
        <w:pStyle w:val="Normal"/>
        <w:spacing w:before="200" w:after="40"/>
        <w:rPr>
          <w:sz w:val="22"/>
        </w:rPr>
      </w:pPr>
      <w:r>
        <w:rPr>
          <w:rFonts w:ascii="Calibri" w:hAnsi="Calibri"/>
          <w:b/>
          <w:i w:val="false"/>
          <w:color w:val="00467F"/>
          <w:sz w:val="22"/>
        </w:rPr>
        <w:t>LANGUES  &amp;  CENTRES D'INTÉRÊT</w:t>
      </w:r>
    </w:p>
    <w:p>
      <w:pPr>
        <w:pStyle w:val="Normal"/>
        <w:spacing w:before="60" w:after="60"/>
        <w:rPr>
          <w:sz w:val="18"/>
        </w:rPr>
      </w:pPr>
      <w:r>
        <w:rPr>
          <w:rFonts w:ascii="Calibri" w:hAnsi="Calibri"/>
          <w:b/>
          <w:i w:val="false"/>
          <w:color w:val="00467F"/>
          <w:sz w:val="17"/>
        </w:rPr>
        <w:t xml:space="preserve">Langues :  </w:t>
      </w:r>
      <w:r>
        <w:rPr>
          <w:rFonts w:ascii="Calibri" w:hAnsi="Calibri"/>
          <w:b w:val="false"/>
          <w:i w:val="false"/>
          <w:color w:val="1E1E1E"/>
          <w:sz w:val="17"/>
        </w:rPr>
        <w:t>Français (maternelle)  |  Anglais C2  |  Espagnol C2</w:t>
      </w:r>
    </w:p>
    <w:p>
      <w:pPr>
        <w:pStyle w:val="Normal"/>
        <w:spacing w:lineRule="exact" w:line="260" w:before="40" w:after="40"/>
        <w:rPr>
          <w:sz w:val="18"/>
        </w:rPr>
      </w:pPr>
      <w:r>
        <w:rPr>
          <w:rFonts w:ascii="Calibri" w:hAnsi="Calibri"/>
          <w:b/>
          <w:i w:val="false"/>
          <w:color w:val="00467F"/>
          <w:sz w:val="17"/>
        </w:rPr>
        <w:t xml:space="preserve">Cyclisme :  </w:t>
      </w:r>
      <w:r>
        <w:rPr>
          <w:rFonts w:ascii="Calibri" w:hAnsi="Calibri"/>
          <w:b w:val="false"/>
          <w:i w:val="false"/>
          <w:color w:val="1E1E1E"/>
          <w:sz w:val="17"/>
        </w:rPr>
        <w:t xml:space="preserve">Ancien compétiteur Elite, pratique régulière route et VTT </w:t>
      </w:r>
      <w:r>
        <w:rPr>
          <w:rFonts w:ascii="Calibri" w:hAnsi="Calibri"/>
          <w:b w:val="false"/>
          <w:i w:val="false"/>
          <w:color w:val="1E1E1E"/>
          <w:sz w:val="17"/>
        </w:rPr>
        <w:t>(Marseille / Luberon)</w:t>
      </w:r>
      <w:r>
        <w:rPr>
          <w:rFonts w:ascii="Calibri" w:hAnsi="Calibri"/>
          <w:b w:val="false"/>
          <w:i w:val="false"/>
          <w:color w:val="1E1E1E"/>
          <w:sz w:val="17"/>
        </w:rPr>
        <w:t xml:space="preserve">. </w:t>
      </w:r>
    </w:p>
    <w:p>
      <w:pPr>
        <w:pStyle w:val="Normal"/>
        <w:spacing w:lineRule="exact" w:line="260" w:before="40" w:after="40"/>
        <w:rPr>
          <w:sz w:val="18"/>
        </w:rPr>
      </w:pPr>
      <w:r>
        <w:rPr>
          <w:rFonts w:ascii="Calibri" w:hAnsi="Calibri"/>
          <w:b/>
          <w:i w:val="false"/>
          <w:color w:val="00467F"/>
          <w:sz w:val="17"/>
        </w:rPr>
        <w:t xml:space="preserve">Alpinisme :  </w:t>
      </w:r>
      <w:r>
        <w:rPr>
          <w:rFonts w:ascii="Calibri" w:hAnsi="Calibri"/>
          <w:b w:val="false"/>
          <w:i w:val="false"/>
          <w:color w:val="1E1E1E"/>
          <w:sz w:val="17"/>
        </w:rPr>
        <w:t>Expéditions autonomes &gt;6 000m (Andes, Pamir, Himalaya). Traversée Nord-Sud des Andes 2005/2006.</w:t>
      </w:r>
    </w:p>
    <w:sectPr>
      <w:type w:val="nextPage"/>
      <w:pgSz w:w="12240" w:h="15840"/>
      <w:pgMar w:left="730" w:right="983" w:gutter="0" w:header="0" w:top="47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3</Pages>
  <Words>1232</Words>
  <Characters>6890</Characters>
  <CharactersWithSpaces>8106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2026-05-25T22:32:37Z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