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				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Matrícula(s):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, nº  - bairro ,  - 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t xml:space="preserve">Pág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  <w:tblW w:w="5000" w:type="pct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 R. B. Ferreira</w:t>
          </w:r>
        </w:p>
        <w:p/>
        <w:p>
          <w:pPr/>
          <w:r>
            <w:rPr/>
            <w:t xml:space="preserve">Marlon Carvalho Heringer</w:t>
          </w:r>
        </w:p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04/04/2023 –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18/04/2023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5" w:color="000000"/>
        <w:insideV w:val="single" w:sz="15" w:color="000000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2023-04-28T14:47:16-03:00</dcterms:created>
  <dcterms:modified xsi:type="dcterms:W3CDTF">2023-04-28T14:47:16-03:00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