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2 ESCOPO</w:t>
      </w:r>
    </w:p>
    <w:p>
      <w:pPr>
        <w:spacing w:lineRule="auto"/>
      </w:pPr>
      <w:r>
        <w:rPr>
          <w:b/>
        </w:rPr>
        <w:t xml:space="preserve">Plano de Gerenciamento do Escopo</w:t>
      </w:r>
    </w:p>
    <w:p>
      <w:pPr>
        <w:spacing w:lineRule="auto"/>
      </w:pPr>
      <w:r>
        <w:rPr>
          <w:b/>
        </w:rPr>
        <w:t xml:space="preserve">Projeto:</w:t>
      </w:r>
      <w:r>
        <w:rPr/>
        <w:t xml:space="preserve"> COGME — Conversor de Ganhos em Moeda Estrangeira </w:t>
      </w:r>
      <w:r>
        <w:rPr>
          <w:b/>
        </w:rPr>
        <w:t xml:space="preserve">Versão:</w:t>
      </w:r>
      <w:r>
        <w:rPr/>
        <w:t xml:space="preserve"> 1.1 </w:t>
      </w:r>
      <w:r>
        <w:rPr>
          <w:b/>
        </w:rPr>
        <w:t xml:space="preserve">Data:</w:t>
      </w:r>
      <w:r>
        <w:rPr/>
        <w:t xml:space="preserve"> 20/09/2026 </w:t>
      </w:r>
      <w:r>
        <w:rPr>
          <w:b/>
        </w:rPr>
        <w:t xml:space="preserve">Autores:</w:t>
      </w:r>
      <w:r>
        <w:rPr/>
        <w:t xml:space="preserve"> Leonardo David Silva Setti (GP), Fabricio de Lima Cabral, Edson Luis Silva </w:t>
      </w:r>
      <w:r>
        <w:rPr>
          <w:b/>
        </w:rPr>
        <w:t xml:space="preserve">Stakeholder-Avaliador:</w:t>
      </w:r>
      <w:r>
        <w:rPr/>
        <w:t xml:space="preserve"> Prof. Dr. Nivaldo Carleto — Fatec Taquaritinga / ADS</w:t>
      </w:r>
    </w:p>
    <w:p>
      <w:pPr>
        <w:spacing w:lineRule="auto"/>
      </w:pPr>
      <w:r>
        <w:rPr/>
        <w:t xml:space="preserve">Este plano deriva diretamente das Premissas P1 (governança híbrida), P2 (FOSS absoluto), P3 (SDD com IA auditável), P4 (código como deliverable), P8 (simplificação pedagógica) e P9 (separação ontológica TAP ≠ EAP ≠ PDCA), e das Restrições de Escopo, Cronograma e Qualidade do Termo de Abertura do Projeto (TAP), respeitando o Domínio de Planejamento e o Domínio de Entrega do PMBOK® 7ª edição.</w:t>
      </w:r>
    </w:p>
    <w:p>
      <w:pPr>
        <w:pStyle w:val="Heading3"/>
        <w:spacing w:lineRule="auto"/>
      </w:pPr>
      <w:r>
        <w:rPr/>
        <w:t xml:space="preserve">2.1 Identificação e Propósito</w:t>
      </w:r>
    </w:p>
    <w:p>
      <w:pPr>
        <w:spacing w:lineRule="auto"/>
      </w:pPr>
      <w:r>
        <w:rPr/>
        <w:t xml:space="preserve">Este Plano de Gerenciamento do Escopo define os mecanismos pelos quais o escopo do COGME é coletado, declarado, decomposto, validado e controlado ao longo do ciclo de vida. Sua função ontológica é complementar e subordinada ao TAP: o TAP autoriza o escopo de alto nível, a Estrutura Analítica do Projeto (EAP) o decompõe estruturalmente e este plano governa a evolução de ambos, garantindo coerência com os Objetivos SMART aprovados. Em conformidade com a Premissa P9, o TAP não integra a EAP nem é objeto de ciclos PDCA; este plano e a EAP, por sua vez, integram a estrutura de execução e melhoria contínua do projeto.</w:t>
      </w:r>
    </w:p>
    <w:p>
      <w:pPr>
        <w:spacing w:lineRule="auto"/>
      </w:pPr>
      <w:r>
        <w:rPr/>
        <w:t xml:space="preserve">O plano ancora-se em dois referenciais normativos: o Domínio de Planejamento e o Domínio de Entrega do PMBOK® 7ª edição (PROJECT MANAGEMENT INSTITUTE, 2021), que orientam a evolução progressiva do escopo e a geração de valor; e, como dicionário complementar com obsolescência formalmente declarada, os processos 5.1 a 5.6 do PMBOK® 6ª edição (PROJECT MANAGEMENT INSTITUTE, 2017). Este documento é entregável do marco M1, conforme a estratégia de entrega faseada dos planos de gerenciamento (Plano de Integração, seção 1.4.1).</w:t>
      </w:r>
    </w:p>
    <w:p>
      <w:pPr>
        <w:pStyle w:val="Heading3"/>
        <w:spacing w:lineRule="auto"/>
      </w:pPr>
      <w:r>
        <w:rPr/>
        <w:t xml:space="preserve">2.2 Abordagem Híbrida de Gerenciamento do Escopo</w:t>
      </w:r>
    </w:p>
    <w:p>
      <w:pPr>
        <w:spacing w:lineRule="auto"/>
      </w:pPr>
      <w:r>
        <w:rPr/>
        <w:t xml:space="preserve">Conforme a Premissa P1 e a ADR-002, o escopo é gerenciado em duas camadas complementares. A primeira, denominada linha de base estrutural, é materializada pela EAP aprovada no TAP, seção 4, e define o escopo obrigatório do MVP acadêmico. A segunda, denominada fluxo emergente, é operacionalizada pelo backlog Kanban no GitHub Projects, que define a ordem de execução e permite evolução progressiva sem sprints time-boxed.</w:t>
      </w:r>
    </w:p>
    <w:p>
      <w:pPr>
        <w:spacing w:lineRule="auto"/>
      </w:pPr>
      <w:r>
        <w:rPr/>
        <w:t xml:space="preserve">O trade-off declarado privilegia a completude acadêmica, garantida pela EAP, em detrimento da rigidez preditiva, e assegura adaptabilidade por meio do fluxo contínuo, em conformidade com o valor ágil "responder a mudanças sobre seguir um plano". Qualquer alteração fora da linha de base aciona o controle integrado de mudanças do Plano de Integração, seção 1.7.</w:t>
      </w:r>
    </w:p>
    <w:p>
      <w:pPr>
        <w:pStyle w:val="Heading3"/>
        <w:spacing w:lineRule="auto"/>
      </w:pPr>
      <w:r>
        <w:rPr/>
        <w:t xml:space="preserve">2.3 Coleta e Gestão de Requisitos</w:t>
      </w:r>
    </w:p>
    <w:p>
      <w:pPr>
        <w:pStyle w:val="Heading4"/>
        <w:spacing w:lineRule="auto"/>
      </w:pPr>
      <w:r>
        <w:rPr/>
        <w:t xml:space="preserve">2.3.1 Métodos de Levantamento</w:t>
      </w:r>
    </w:p>
    <w:p>
      <w:pPr>
        <w:spacing w:lineRule="auto"/>
      </w:pPr>
      <w:r>
        <w:rPr/>
        <w:t xml:space="preserve">Os requisitos foram coletados por duas técnicas complementares, em conformidade com o processo 5.2 do PMBOK® 6ª: análise de domínio, conduzida a partir da dor do público-alvo — profissionais brasileiros que prestam serviços ao exterior em moeda estrangeira — e do mapeamento das ferramentas dispersas hoje utilizadas para simulação cambial; e brainstorm estruturado da equipe, do qual derivaram as quinze necessidades consolidadas como requisitos. A combinação é justificável pelo contexto acadêmico, que dispensa técnicas de maior formalidade, como grupos focais ou prototipação de requisitos, em conformidade com o princípio de Governança Mínima Viável (GMV) declarado no Plano de Integração, seção 1.2.3.</w:t>
      </w:r>
    </w:p>
    <w:p>
      <w:pPr>
        <w:pStyle w:val="Heading4"/>
        <w:spacing w:lineRule="auto"/>
      </w:pPr>
      <w:r>
        <w:rPr/>
        <w:t xml:space="preserve">2.3.2 Inventário e Documentação de Requisitos</w:t>
      </w:r>
    </w:p>
    <w:p>
      <w:pPr>
        <w:spacing w:lineRule="auto"/>
      </w:pPr>
      <w:r>
        <w:rPr/>
        <w:t xml:space="preserve">Os quinze requisitos encontram-se consolidados no TAP, seção 5, que exerce provisoriamente a função de documentação de requisitos até a publicação do artefato canônico em </w:t>
      </w:r>
      <w:r>
        <w:rPr/>
        <w:t xml:space="preserve">/docs/requisitos/requisitos.md</w:t>
      </w:r>
      <w:r>
        <w:rPr/>
        <w:t xml:space="preserve">, prevista para o marco M2. Distribuem-se em seis entregas principais, cada uma rastreável a um Objetivo SMART e a uma fase da EAP:</w:t>
      </w:r>
    </w:p>
    <w:p>
      <w:pPr>
        <w:spacing w:lineRule="auto"/>
      </w:pPr>
      <w:r>
        <w:rPr/>
        <w:t xml:space="preserve">a) MVP Web Funcional (Fase N5): REQ-01 a REQ-07 — simulação cambial em tempo real, cinco regimes de contratação, spread e IOF, invoice em PDF, tempo de resposta inferior a três segundos, interface responsiva e cache de cotações;</w:t>
      </w:r>
    </w:p>
    <w:p>
      <w:pPr>
        <w:spacing w:lineRule="auto"/>
      </w:pPr>
      <w:r>
        <w:rPr/>
        <w:t xml:space="preserve">b) Garantia da Qualidade (Fase N6): REQ-08 a REQ-10 — cobertura de testes superior a oitenta por cento, UAT com cem por cento dos fluxos críticos e ferramentas da qualidade;</w:t>
      </w:r>
    </w:p>
    <w:p>
      <w:pPr>
        <w:spacing w:lineRule="auto"/>
      </w:pPr>
      <w:r>
        <w:rPr/>
        <w:t xml:space="preserve">c) DevOps e CI/CD (Fase N7): REQ-11 — pipeline de integração contínua;</w:t>
      </w:r>
    </w:p>
    <w:p>
      <w:pPr>
        <w:spacing w:lineRule="auto"/>
      </w:pPr>
      <w:r>
        <w:rPr/>
        <w:t xml:space="preserve">d) Base de Conhecimento (Fase N9): REQ-12 e REQ-13 — ADRs e rastreabilidade de prompts SDD;</w:t>
      </w:r>
    </w:p>
    <w:p>
      <w:pPr>
        <w:spacing w:lineRule="auto"/>
      </w:pPr>
      <w:r>
        <w:rPr/>
        <w:t xml:space="preserve">e) Documentação Técnica (Fase N11): REQ-14 — arquitetura e APIs consolidadas;</w:t>
      </w:r>
    </w:p>
    <w:p>
      <w:pPr>
        <w:spacing w:lineRule="auto"/>
      </w:pPr>
      <w:r>
        <w:rPr/>
        <w:t xml:space="preserve">f) Conformidade FOSS (Fases N1 e N4): REQ-15 — licenciamento integralmente aberto.</w:t>
      </w:r>
    </w:p>
    <w:p>
      <w:pPr>
        <w:pStyle w:val="Heading4"/>
        <w:spacing w:lineRule="auto"/>
      </w:pPr>
      <w:r>
        <w:rPr/>
        <w:t xml:space="preserve">2.3.3 Formato dos Requisitos e Conversão a Posteriori</w:t>
      </w:r>
    </w:p>
    <w:p>
      <w:pPr>
        <w:spacing w:lineRule="auto"/>
      </w:pPr>
      <w:r>
        <w:rPr/>
        <w:t xml:space="preserve">Os requisitos REQ-01 a REQ-15 foram formalizados com critério de aceite mensurável, rastreabilidade ao TAP e vínculo à fase da EAP, formato suficiente para o marco M1. A conversão para o formato canônico de User Story — "Como [papel], quero [ação], para [benefício]" com critérios de aceite Given/When/Then — será realizada a posteriori, até o marco M2 (30/09/2026), conforme fase N2.3 da EAP, utilizando o Padrão B de redação de cards (OKB, seção 9.3). A decisão é justificada pela restrição de prazo letivo e pelo princípio GMV.</w:t>
      </w:r>
    </w:p>
    <w:p>
      <w:pPr>
        <w:pStyle w:val="Heading4"/>
        <w:spacing w:lineRule="auto"/>
      </w:pPr>
      <w:r>
        <w:rPr/>
        <w:t xml:space="preserve">2.3.4 Abordagem Specification-Driven Development (SDD)</w:t>
      </w:r>
    </w:p>
    <w:p>
      <w:pPr>
        <w:spacing w:lineRule="auto"/>
      </w:pPr>
      <w:r>
        <w:rPr/>
        <w:t xml:space="preserve">O escopo inclui, como requisito formal (REQ-12 e REQ-13), a utilização de Specification-Driven Development com apoio de Inteligência Artificial Generativa, conforme a Premissa P3 e o Objetivo SMART de Inovação do TAP. A abordagem SDD opera sobre a </w:t>
      </w:r>
      <w:r>
        <w:rPr>
          <w:b/>
        </w:rPr>
        <w:t xml:space="preserve">stack local canônica</w:t>
      </w:r>
      <w:r>
        <w:rPr/>
        <w:t xml:space="preserve"> do projeto — llama.cpp como motor de inferência, modelo Qwen 32B e OpenCode como interface de desenvolvimento —, garantindo custo zero e conformidade FOSS em aderência à Premissa P2. A formalização da stack na ADR-001 encontra-se </w:t>
      </w:r>
      <w:r>
        <w:rPr>
          <w:b/>
        </w:rPr>
        <w:t xml:space="preserve">em avaliação</w:t>
      </w:r>
      <w:r>
        <w:rPr/>
        <w:t xml:space="preserve"> e poderá sofrer atualizações de impacto relevante; a inclusão, a exclusão ou a troca de ferramentas, modelos ou motores em todo o contexto da stack exigirá </w:t>
      </w:r>
      <w:r>
        <w:rPr>
          <w:b/>
        </w:rPr>
        <w:t xml:space="preserve">ADR específica</w:t>
      </w:r>
      <w:r>
        <w:rPr/>
        <w:t xml:space="preserve">, conforme a política de ADRs do projeto (gatilhos de impacto transversal e de irreversibilidade prática) e o fluxo de mudanças da seção 2.8. O detalhamento operacional — prompts, personas e handoffs — reside no Catálogo de Prompts SDD (fase N9.3, diretório </w:t>
      </w:r>
      <w:r>
        <w:rPr/>
        <w:t xml:space="preserve">.ai/handoffs/</w:t>
      </w:r>
      <w:r>
        <w:rPr/>
        <w:t xml:space="preserve">) e nas ADRs (fase N9.1). A política de co-autoria em commits e a rastreabilidade integral dos prompts constituem critérios de aceite dos requisitos REQ-12 e REQ-13.</w:t>
      </w:r>
    </w:p>
    <w:p>
      <w:pPr>
        <w:pStyle w:val="Heading4"/>
        <w:spacing w:lineRule="auto"/>
      </w:pPr>
      <w:r>
        <w:rPr/>
        <w:t xml:space="preserve">2.3.5 Priorização de Requisitos e de Cards</w:t>
      </w:r>
    </w:p>
    <w:p>
      <w:pPr>
        <w:spacing w:lineRule="auto"/>
      </w:pPr>
      <w:r>
        <w:rPr/>
        <w:t xml:space="preserve">A priorização opera em duas camadas distintas e complementares. A classificação de </w:t>
      </w:r>
      <w:r>
        <w:rPr>
          <w:b/>
        </w:rPr>
        <w:t xml:space="preserve">valor de escopo</w:t>
      </w:r>
      <w:r>
        <w:rPr/>
        <w:t xml:space="preserve"> aplica o método MoSCoW aos requisitos: a classe Must compreende REQ-01 a REQ-09, REQ-11 e REQ-15; a classe Should compreende REQ-10, REQ-12, REQ-13 e REQ-14; as classes Could e Won't encontram-se vazias, registrando a última as exclusões da seção 2.4. A classificação de </w:t>
      </w:r>
      <w:r>
        <w:rPr>
          <w:b/>
        </w:rPr>
        <w:t xml:space="preserve">urgência temporal</w:t>
      </w:r>
      <w:r>
        <w:rPr/>
        <w:t xml:space="preserve"> aplica a escala P0–P3 aos cards do backlog (OKB, seção 9.4), sendo P0 o caminho crítico do marco e P3 o item postergável. Ambas as classificações são aplicadas e revisadas no Refinement semanal, cuja primeira sessão ocorre em 23/09/2026.</w:t>
      </w:r>
    </w:p>
    <w:p>
      <w:pPr>
        <w:pStyle w:val="Heading3"/>
        <w:spacing w:lineRule="auto"/>
      </w:pPr>
      <w:r>
        <w:rPr/>
        <w:t xml:space="preserve">2.4 Declaração de Escopo do Projeto</w:t>
      </w:r>
    </w:p>
    <w:p>
      <w:pPr>
        <w:spacing w:lineRule="auto"/>
      </w:pPr>
      <w:r>
        <w:rPr/>
        <w:t xml:space="preserve">Em respeito ao princípio GMV e para evitar proliferação documental, a Declaração de Escopo é consolidada neste plano, em vez de constituir artefato separado.</w:t>
      </w:r>
    </w:p>
    <w:p>
      <w:pPr>
        <w:pStyle w:val="Heading4"/>
        <w:spacing w:lineRule="auto"/>
      </w:pPr>
      <w:r>
        <w:rPr/>
        <w:t xml:space="preserve">2.4.1 Fronteira do Escopo</w:t>
      </w:r>
    </w:p>
    <w:p>
      <w:pPr>
        <w:spacing w:lineRule="auto"/>
      </w:pPr>
      <w:r>
        <w:rPr/>
        <w:t xml:space="preserve">A fronteira do escopo é apresentada na Tabela 1. A coluna de exclusões é fundamentada no princípio YAGNI (</w:t>
      </w:r>
      <w:r>
        <w:rPr/>
        <w:t xml:space="preserve">You Aren't Gonna Need It</w:t>
      </w:r>
      <w:r>
        <w:rPr/>
        <w:t xml:space="preserve">), em conformidade com a restrição de escopo do TAP, seção 8.1: funcionalidades não essenciais ao MVP acadêmico são explicitamente excluídas do ciclo atual, podendo ser reconsideradas apenas mediante solicitação formal de mudança (Plano de Integração, seção 1.7). Esta exclusão explícita operacionaliza a restrição de MVP e previne scope creep por acréscimo incremental não autorizado.</w:t>
      </w:r>
    </w:p>
    <w:p>
      <w:pPr>
        <w:spacing w:lineRule="auto"/>
      </w:pPr>
      <w:r>
        <w:rPr>
          <w:b/>
        </w:rPr>
        <w:t xml:space="preserve">Tabela 1 — Fronteira do Escopo (IN / OUT)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Escopo aprovado (IN)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Escopo excluído (OUT)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Simulação cambial USD/EUR → BRL em tempo real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Suporte a outras moedas (GBP, JPY, CHF)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Cinco regimes de contratação (hora, dia, semana, mês, valor fixo)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Cadastro multiusuário ou autenticação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Cálculo de spread e IOF com precisão de duas casas decimais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Integração com plataformas de transferência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Emissão de invoice em PDF via WeasyPrint em até três segundos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Emissão de notas fiscais brasileiras (NF-e, NFS-e)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Interface web responsiva FOSS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Aplicativo mobile nativo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Cache SQLite de cotações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Banco relacional multiusuário (PostgreSQL)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Cobertura de testes ≥ 80% e UAT com 100% dos fluxos críticos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Testes de carga ou estresse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Pipeline CI com lint e testes em até cinco minutos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Continuous deployment para produção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ADRs e catálogo de prompts SDD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Documentação de usuário final em PDF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Stack 100% FOSS auditável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Bibliotecas proprietárias ou serviços pagos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Fonte: Elaborado pelos autores (2026), com base no TAP, seções 3 e 8.</w:t>
      </w:r>
    </w:p>
    <w:p>
      <w:pPr>
        <w:pStyle w:val="Heading4"/>
        <w:spacing w:lineRule="auto"/>
      </w:pPr>
      <w:r>
        <w:rPr/>
        <w:t xml:space="preserve">2.4.2 Critérios de Aceite do Escopo</w:t>
      </w:r>
    </w:p>
    <w:p>
      <w:pPr>
        <w:spacing w:lineRule="auto"/>
      </w:pPr>
      <w:r>
        <w:rPr/>
        <w:t xml:space="preserve">O escopo será considerado aceito quando todos os requisitos da classe Must estiverem operacionais em UAT; quando a cobertura de testes atingir oitenta por cento, validada via integração contínua; quando não houver defeitos críticos ou bloqueantes; quando cem por cento das dependências possuírem licenças aprovadas pela Open Source Initiative; e quando houver validação acadêmica pelo Prof. Dr. Nivaldo Carleto no marco M4.</w:t>
      </w:r>
    </w:p>
    <w:p>
      <w:pPr>
        <w:pStyle w:val="Heading4"/>
        <w:spacing w:lineRule="auto"/>
      </w:pPr>
      <w:r>
        <w:rPr/>
        <w:t xml:space="preserve">2.4.3 Artefatos Técnicos Não Abrangidos por Este Plano</w:t>
      </w:r>
    </w:p>
    <w:p>
      <w:pPr>
        <w:spacing w:lineRule="auto"/>
      </w:pPr>
      <w:r>
        <w:rPr/>
        <w:t xml:space="preserve">Para prevenir invasão de contexto, declara-se que não compõem o escopo deste plano: a) diagramas UML completos, sendo a arquitetura da solução (fase N3.1) documentada por diagrama de componentes em Markdown ou PlantUML; b) o Diagrama Entidade-Relacionamento, produzido na fase N3.3 e versionado no repositório; c) a estrutura de diretórios do repositório, documentada no arquivo README.md na fase N5; e d) os arquivos de configuração do pipeline, versionados em </w:t>
      </w:r>
      <w:r>
        <w:rPr/>
        <w:t xml:space="preserve">.github/workflows/</w:t>
      </w:r>
      <w:r>
        <w:rPr/>
        <w:t xml:space="preserve"> na fase N7.1.</w:t>
      </w:r>
    </w:p>
    <w:p>
      <w:pPr>
        <w:pStyle w:val="Heading3"/>
        <w:spacing w:lineRule="auto"/>
      </w:pPr>
      <w:r>
        <w:rPr/>
        <w:t xml:space="preserve">2.5 Estrutura Analítica do Projeto</w:t>
      </w:r>
    </w:p>
    <w:p>
      <w:pPr>
        <w:spacing w:lineRule="auto"/>
      </w:pPr>
      <w:r>
        <w:rPr/>
        <w:t xml:space="preserve">A EAP aprovada no TAP, seção 4, constitui a linha de base estrutural do escopo: nível 0 (raiz COGME), doze fases de nível 1 (N1 a N12), trinta e sete pacotes de trabalho de nível 2 e três macro-fases (MF1 Fundação, MF2 Construção, MF3 Consolidação), conforme representado na Figura 1.</w:t>
      </w:r>
    </w:p>
    <w:p>
      <w:pPr>
        <w:ind w:left="284"/>
        <w:jc w:val="both"/>
        <w:spacing w:lineRule="auto"/>
      </w:pPr>
      <w:r>
        <w:rPr>
          <w:b/>
        </w:rPr>
        <w:t xml:space="preserve">[FIGURA 1 — Inserção obrigatória: EAP do COGME, visão executiva.]</w:t>
      </w:r>
      <w:r>
        <w:rPr/>
        <w:t xml:space="preserve"> Conteúdo obrigatório: raiz N0 no topo; doze caixas de nível 1 agrupadas em três faixas horizontais rotuladas MF1, MF2 e MF3; cada caixa de fase exibindo o identificador (N1…N12), o nome da fase e a contagem de pacotes de nível 2 (ex.: "N5 — Desenvolvimento do Sistema (5 pacotes)"); sem abertura dos 37 pacotes, para preservar legibilidade. Formato sugerido: Mermaid </w:t>
      </w:r>
      <w:r>
        <w:rPr/>
        <w:t xml:space="preserve">flowchart TB</w:t>
      </w:r>
      <w:r>
        <w:rPr/>
        <w:t xml:space="preserve"> ou PlantUML WBS, versionado em </w:t>
      </w:r>
      <w:r>
        <w:rPr/>
        <w:t xml:space="preserve">/docs/diagrams/</w:t>
      </w:r>
      <w:r>
        <w:rPr/>
        <w:t xml:space="preserve">. Necessidade real: a EAP é o artefato nuclear do processo 5.4 e o TAP, seção 4, prevê slot de diagrama executivo atualmente vazio; a representação visual elimina ambiguidade de abrangência das macro-fases para o avaliador.</w:t>
      </w:r>
    </w:p>
    <w:p>
      <w:pPr>
        <w:spacing w:lineRule="auto"/>
      </w:pPr>
      <w:r>
        <w:rPr>
          <w:b/>
        </w:rPr>
        <w:t xml:space="preserve">Nota de canonicidade (decisão do GP, 20/09/2026):</w:t>
      </w:r>
      <w:r>
        <w:rPr/>
        <w:t xml:space="preserve"> a linha de base da EAP é canônica no TAP, seção 4. O TAP e o Plano de Integração constituem as fontes canônicas de autorização e de coordenação do projeto. O Glossário é artefato terminológico volátil, atualizado a cada rodada de redação dos planos, e não constitui linha de base: eventuais divergências de contagem de fases ou pacotes são resolvidas pela prevalência do TAP, sem necessidade de solicitação de mudança. A contagem de treze fases e quarenta e oito pacotes registrada em versão anterior do Glossário não corresponde à linha de base aprovada e será corrigida na próxima revisão do próprio Glossário.</w:t>
      </w:r>
    </w:p>
    <w:p>
      <w:pPr>
        <w:spacing w:lineRule="auto"/>
      </w:pPr>
      <w:r>
        <w:rPr/>
        <w:t xml:space="preserve">Três regras de governança aplicam-se à decomposição. Primeira: nenhum pacote de trabalho pode ser adicionado, removido ou renomeado sem aprovação formal via change-request. Segunda: cada pacote de nível 2 decompõe-se em cards Kanban com esforço estimado inferior ou igual a oito horas, redigidos conforme os Padrões A (documental) ou B (User Story GWT) do OKB, seção 9.3. Terceira: quando necessário à execução, o card decompõe-se em atividades derivadas — ações verbais que detalham a entrega substantiva, em conformidade com o processo 6.2 do PMBOK® 6ª (dicionário) — materializadas como tasklist Markdown no corpo da Issue, conforme a ADR-004, que rejeita formalmente subissues. A cadeia completa é representada na Figura 2.</w:t>
      </w:r>
    </w:p>
    <w:p>
      <w:pPr>
        <w:ind w:left="284"/>
        <w:jc w:val="both"/>
        <w:spacing w:lineRule="auto"/>
      </w:pPr>
      <w:r>
        <w:rPr>
          <w:b/>
        </w:rPr>
        <w:t xml:space="preserve">[FIGURA 2 — Inserção obrigatória: cadeia de decomposição do escopo e gates de qualidade.]</w:t>
      </w:r>
      <w:r>
        <w:rPr/>
        <w:t xml:space="preserve"> Conteúdo obrigatório: três níveis encadeados da esquerda para a direita — (i) pacote de trabalho EAP nível 2 (entrega, substantivo, ex.: "N5.1 — Backend: Lógica de Negócio"); (ii) card ubíquo Kanban (unidade atômica de backlog e de métrica, ≤ 8h, Padrão A ou B); (iii) atividades derivadas como tasklist Markdown (3 a 7 itens verbais, último item "Validação final", ADR-004); gates anotados entre colunas: DoR na entrada de </w:t>
      </w:r>
      <w:r>
        <w:rPr/>
        <w:t xml:space="preserve">Ready</w:t>
      </w:r>
      <w:r>
        <w:rPr/>
        <w:t xml:space="preserve">, tasklist 100% + revisão de pares na entrada de </w:t>
      </w:r>
      <w:r>
        <w:rPr/>
        <w:t xml:space="preserve">Code Review</w:t>
      </w:r>
      <w:r>
        <w:rPr/>
        <w:t xml:space="preserve">, DoD na entrada de </w:t>
      </w:r>
      <w:r>
        <w:rPr/>
        <w:t xml:space="preserve">Done</w:t>
      </w:r>
      <w:r>
        <w:rPr/>
        <w:t xml:space="preserve">; anotação lateral: "métricas de fluxo medem o card pai (ADR-003); subissues rejeitadas (ADR-004)". Formato sugerido: Mermaid </w:t>
      </w:r>
      <w:r>
        <w:rPr/>
        <w:t xml:space="preserve">flowchart LR</w:t>
      </w:r>
      <w:r>
        <w:rPr/>
        <w:t xml:space="preserve">, versionado em </w:t>
      </w:r>
      <w:r>
        <w:rPr/>
        <w:t xml:space="preserve">/docs/diagrams/</w:t>
      </w:r>
      <w:r>
        <w:rPr/>
        <w:t xml:space="preserve">. Necessidade real: materializa a operacionalização do processo 6.2 do PMBOK® 6ª no método Kanban e blinda academicamente a rejeição de subissues perante o avaliador.</w:t>
      </w:r>
      <w:r>
        <w:rPr/>
        <w:t xml:space="preserve">Em conformidade com a Premissa P9, a EAP e seus pacotes integram a estrutura de ciclos PDCA do projeto (doze ciclos, um por fase), enquanto o TAP permanece como documento de autorização, não gerenciado.</w:t>
      </w:r>
    </w:p>
    <w:p>
      <w:pPr>
        <w:pStyle w:val="Heading3"/>
        <w:spacing w:lineRule="auto"/>
      </w:pPr>
      <w:r>
        <w:rPr/>
        <w:t xml:space="preserve">2.6 Definition of Ready e Definition of Done</w:t>
      </w:r>
    </w:p>
    <w:p>
      <w:pPr>
        <w:spacing w:lineRule="auto"/>
      </w:pPr>
      <w:r>
        <w:rPr/>
        <w:t xml:space="preserve">Em conformidade com o Domínio de Entrega e o Domínio de Medição do PMBOK® 7ª, formalizam-se os gates de qualidade do fluxo Kanban.</w:t>
      </w:r>
    </w:p>
    <w:p>
      <w:pPr>
        <w:spacing w:lineRule="auto"/>
      </w:pPr>
      <w:r>
        <w:rPr/>
        <w:t xml:space="preserve">O DoR, gate de entrada, exige que o card possua: título padronizado no formato </w:t>
      </w:r>
      <w:r>
        <w:rPr/>
        <w:t xml:space="preserve">N{X}.{Y} — Descrição</w:t>
      </w:r>
      <w:r>
        <w:rPr/>
        <w:t xml:space="preserve">; contexto ubíquo autocontido; critério de aceite mensurável; rastreabilidade à fase da EAP e ao requisito do TAP; estimativa de esforço inferior ou igual a oito horas; dependências identificadas; responsável atribuído; no mínimo três labels (tipo, macro-fase e área de conhecimento); milestone vinculada; e revisão no Refinement semanal. Cards documentais seguem o Padrão A e cards de produto seguem o Padrão B (OKB, seção 9.3).</w:t>
      </w:r>
    </w:p>
    <w:p>
      <w:pPr>
        <w:spacing w:lineRule="auto"/>
      </w:pPr>
      <w:r>
        <w:rPr/>
        <w:t xml:space="preserve">O DoD, gate de saída, exige que: 1) o código esteja implementado e commitado em feature branch; 2) os testes unitários estejam escritos com cobertura do módulo superior ou igual a oitenta por cento; 3) o pipeline de integração contínua esteja verde; 4) o Code Review tenha sido aprovado por pelo menos um par; 5) a documentação esteja atualizada, quando aplicável; 6) o card tenha sido movido para Done com data registrada; 7) se o código foi gerado com apoio de SDD, o commit declare co-autoria, conforme o Critério de Inovação Controlada do TAP, seção 3.2.e; e 8) se o card possuir tasklist Markdown no corpo da Issue (conforme ADR-004), cem por cento dos itens estejam marcados como concluídos (</w:t>
      </w:r>
      <w:r>
        <w:rPr/>
        <w:t xml:space="preserve">- [x]</w:t>
      </w:r>
      <w:r>
        <w:rPr/>
        <w:t xml:space="preserve">). Artefatos em status </w:t>
      </w:r>
      <w:r>
        <w:rPr/>
        <w:t xml:space="preserve">pair-review</w:t>
      </w:r>
      <w:r>
        <w:rPr/>
        <w:t xml:space="preserve"> ou </w:t>
      </w:r>
      <w:r>
        <w:rPr/>
        <w:t xml:space="preserve">in-review</w:t>
      </w:r>
      <w:r>
        <w:rPr/>
        <w:t xml:space="preserve"> não satisfazem o DoD e permanecem na coluna </w:t>
      </w:r>
      <w:r>
        <w:rPr/>
        <w:t xml:space="preserve">Code Review</w:t>
      </w:r>
      <w:r>
        <w:rPr/>
        <w:t xml:space="preserve"> até a conclusão da revisão.</w:t>
      </w:r>
    </w:p>
    <w:p>
      <w:pPr>
        <w:spacing w:lineRule="auto"/>
      </w:pPr>
      <w:r>
        <w:rPr>
          <w:b/>
        </w:rPr>
        <w:t xml:space="preserve">Nota (ADR-004 + OKB §9.3):</w:t>
      </w:r>
      <w:r>
        <w:rPr/>
        <w:t xml:space="preserve"> cards documentais seguem o Padrão A de redação (título </w:t>
      </w:r>
      <w:r>
        <w:rPr/>
        <w:t xml:space="preserve">N{X}.{Y} — Descrição</w:t>
      </w:r>
      <w:r>
        <w:rPr/>
        <w:t xml:space="preserve">, contexto ubíquo, critérios de aceite binários, rastreabilidade dupla); cards de produto seguem o Padrão B (User Story com critérios Given/When/Then), com aplicação efetiva a partir do marco M2 (30/09/2026). Ambos os padrões estão definidos na base de conhecimento operacional, seção 9.3. O gate de tasklist (item 8) é definido canonicamente neste plano e referenciado pelo Plano de Integração, seção 1.3.2, como regra de migração de fluxo — a Integração sinaliza o ponto de controle sem duplicar o conteúdo do DoD, em conformidade com a fronteira de escopo entre as duas áreas.</w:t>
      </w:r>
    </w:p>
    <w:p>
      <w:pPr>
        <w:pStyle w:val="Heading3"/>
        <w:spacing w:lineRule="auto"/>
      </w:pPr>
      <w:r>
        <w:rPr/>
        <w:t xml:space="preserve">2.7 Validação e Controle de Escopo</w:t>
      </w:r>
    </w:p>
    <w:p>
      <w:pPr>
        <w:spacing w:lineRule="auto"/>
      </w:pPr>
      <w:r>
        <w:rPr/>
        <w:t xml:space="preserve">Os processos 5.5 (Validar o Escopo) e 5.6 (Controlar o Escopo) do PMBOK® 6ª são operacionalizados por rituais Kanban, conforme a ADR-002. A validação ocorre por Code Review e por User Acceptance Testing no marco M3, com evidência em Pull Request aprovado e relatório de UAT. O controle ocorre por Refinement semanal e por análise do Cumulative Flow Diagram, cuja definição formal, cadência e regra de ação corretiva residem no Plano de Integração, seção 1.6.1, com evidência no GitHub Projects e no GitHub Insights.</w:t>
      </w:r>
    </w:p>
    <w:p>
      <w:pPr>
        <w:spacing w:lineRule="auto"/>
      </w:pPr>
      <w:r>
        <w:rPr/>
        <w:t xml:space="preserve">A prevenção de scope creep aciona alerta quando o backlog cresce superior a quinze por cento em relação à linha de base de trinta e sete pacotes da EAP. Nesse caso, o GP congela novas features, analisa o impacto via change-request e decide em até quarenta e oito horas. A métrica de controle é o Throughput semanal superior ou igual a cinco cards; se inferior a três cards por semana durante duas semanas consecutivas, o escopo é revisado conforme o fallback da ADR-003.</w:t>
      </w:r>
    </w:p>
    <w:p>
      <w:pPr>
        <w:pStyle w:val="Heading3"/>
        <w:spacing w:lineRule="auto"/>
      </w:pPr>
      <w:r>
        <w:rPr/>
        <w:t xml:space="preserve">2.8 Gestão de Mudanças de Escopo</w:t>
      </w:r>
    </w:p>
    <w:p>
      <w:pPr>
        <w:spacing w:lineRule="auto"/>
      </w:pPr>
      <w:r>
        <w:rPr/>
        <w:t xml:space="preserve">Qualquer alteração de escopo segue o fluxo do Plano de Integração, seção 1.7: abertura de Issue com label </w:t>
      </w:r>
      <w:r>
        <w:rPr/>
        <w:t xml:space="preserve">change-request</w:t>
      </w:r>
      <w:r>
        <w:rPr/>
        <w:t xml:space="preserve">, análise de impacto pelo GP em até quarenta e oito horas, aprovação ou rejeição em até vinte e quatro horas e atualização do backlog, da EAP quando aplicável, e commit. Mudanças que alterem marcos (M1–M4) ou o escopo do MVP exigem registro formal via ADR e comunicação ao Prof. Dr. Nivaldo Carleto no marco de avaliação subsequente. A inclusão, exclusão ou renomeação de pacotes da EAP enquadra-se sempre neste limiar de formalidade. Mudanças na stack tecnológica — incluindo a stack SDD, conforme seção 2.3.4 — seguem o mesmo fluxo e exigem ADR específica quando atendidos os gatilhos da política de ADRs do projeto.</w:t>
      </w:r>
    </w:p>
    <w:p>
      <w:pPr>
        <w:pStyle w:val="Heading3"/>
        <w:spacing w:lineRule="auto"/>
      </w:pPr>
      <w:r>
        <w:rPr/>
        <w:t xml:space="preserve">2.9 Critérios de Aceite e Condições de Fracasso</w:t>
      </w:r>
    </w:p>
    <w:p>
      <w:pPr>
        <w:spacing w:lineRule="auto"/>
      </w:pPr>
      <w:r>
        <w:rPr/>
        <w:t xml:space="preserve">Esta seção consolida, em respeito ao princípio GMV, os critérios positivos de aceite e os gatilhos negativos de fracasso do escopo.</w:t>
      </w:r>
    </w:p>
    <w:p>
      <w:pPr>
        <w:pStyle w:val="Heading4"/>
        <w:spacing w:lineRule="auto"/>
      </w:pPr>
      <w:r>
        <w:rPr/>
        <w:t xml:space="preserve">2.9.1 Critérios de Aceite</w:t>
      </w:r>
    </w:p>
    <w:p>
      <w:pPr>
        <w:spacing w:lineRule="auto"/>
      </w:pPr>
      <w:r>
        <w:rPr/>
        <w:t xml:space="preserve">Remetem-se aos critérios da seção 2.4.2, acrescidos da verificação de que cem por cento dos requisitos da classe Must possuam rastreabilidade documentada a Objetivo SMART, fase da EAP e card do backlog.</w:t>
      </w:r>
    </w:p>
    <w:p>
      <w:pPr>
        <w:pStyle w:val="Heading4"/>
        <w:spacing w:lineRule="auto"/>
      </w:pPr>
      <w:r>
        <w:rPr/>
        <w:t xml:space="preserve">2.9.2 Condições de Fracasso e Escalation</w:t>
      </w:r>
    </w:p>
    <w:p>
      <w:pPr>
        <w:spacing w:lineRule="auto"/>
      </w:pPr>
      <w:r>
        <w:rPr/>
        <w:t xml:space="preserve">Derivados do TAP, seção 3.3, os seguintes gatilhos específicos acionam ação corretiva: a) requisito Must não implementado até M3, com contingência de redução de escopo Should; b) EAP com mais de quinze por cento de pacotes não iniciados até M2, com replanejamento e ADR; c) UAT com defeito crítico ou bloqueante, com retrabalho imediato e congelamento de novas features; d) scope creep superior a quinze por cento, com congelamento e decisão do CCB; e e) cobertura de requisitos inferior a cem por cento dos Must, com bloqueio do M3.</w:t>
      </w:r>
    </w:p>
    <w:p>
      <w:pPr>
        <w:pStyle w:val="Heading3"/>
        <w:spacing w:lineRule="auto"/>
      </w:pPr>
      <w:r>
        <w:rPr/>
        <w:t xml:space="preserve">2.10 Declaração de Rastreabilidade</w:t>
      </w:r>
    </w:p>
    <w:p>
      <w:pPr>
        <w:spacing w:lineRule="auto"/>
      </w:pPr>
      <w:r>
        <w:rPr/>
        <w:t xml:space="preserve">A Tabela 2 apresenta a rastreabilidade de cada seção deste plano ao TAP, ao domínio de desempenho do PMBOK® 7ª correspondente e ao processo do PMBOK® 6ª utilizado como dicionário.</w:t>
      </w:r>
    </w:p>
    <w:p>
      <w:pPr>
        <w:spacing w:lineRule="auto"/>
      </w:pPr>
      <w:r>
        <w:rPr>
          <w:b/>
        </w:rPr>
        <w:t xml:space="preserve">Tabela 2 — Rastreabilidade interna do Plano de Escopo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Origem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Domínio PMBOK 7ª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Processo PMBOK 6ª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2.2 (Abordagem híbrida)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TAP §1.c + Premissa P1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Planejamento + Entrega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5.1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2.3 (Requisitos)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TAP §3 + §5 + Premissa P3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2.3.4 (Stack SDD local + regra de ADR)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Premissa P3 + REQ-12/13 + Política de ADRs (OKB)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Trabalho do Projeto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2.4 (Declaração de Escopo)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TAP §3 + §8 + Premissa P2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2.5 (EAP e decomposição; canonicidade no TAP §4)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TAP §4 + Premissa P9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Planejamento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5.4 + 6.2 (dicionário)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2.6 (DoR/DoD)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TAP §3 (Qualidade) + §3.2.e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 + Medição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2.6 — DoD item 8 (tasklist)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ADR-004 + Integração §1.3.2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Trabalho do Projeto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4.3 (dicionário)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2.6 — Padrões de redação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OKB §9.3 + ADR-002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2.7 (Validação/Controle)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TAP §3 (Métricas)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5.5, 5.6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2.8 (Mudanças)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TAP §3.3 + Premissa P7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Incerteza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4.6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2.9 (Aceite/Fracasso)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TAP §3.2 + §3.3 + §10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Incerteza + Entrega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5.5, 5.6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Fonte: Elaborado pelos autores (2026).</w:t>
      </w:r>
    </w:p>
    <w:p>
      <w:pPr>
        <w:spacing w:lineRule="auto"/>
      </w:pPr>
      <w:r>
        <w:rPr/>
        <w:t xml:space="preserve">Verificação: cem por cento das seções possuem rastreabilidade a ao menos um objetivo SMART, premissa ou restrição do TAP; a fronteira OUT da seção 2.4.1 é adicionalmente fundamentada no princípio YAGNI; o gate de tasklist e os padrões de redação possuem rastreabilidade cruzada com a ADR-004, o OKB §9.3 e o Plano de Integração §1.3.2.</w:t>
      </w:r>
    </w:p>
    <w:p>
      <w:pPr>
        <w:pStyle w:val="Heading3"/>
        <w:spacing w:lineRule="auto"/>
      </w:pPr>
      <w:r>
        <w:rPr/>
        <w:t xml:space="preserve">2.11 Premissas e Restrições Aplicáveis</w:t>
      </w:r>
    </w:p>
    <w:p>
      <w:pPr>
        <w:spacing w:lineRule="auto"/>
      </w:pPr>
      <w:r>
        <w:rPr/>
        <w:t xml:space="preserve">As premissas aplicáveis a este plano são: P1 (governança híbrida), que fundamenta a seção 2.2; P2 (FOSS absoluto), que fundamenta a fronteira OUT da seção 2.4.1 e a stack SDD local da seção 2.3.4; P3 (SDD com IA auditável), que fundamenta a seção 2.3.4; P4 (código como deliverable), que fundamenta o DoD da seção 2.6; P8 (simplificação de Aquisições e Partes Interessadas), que fundamenta o escopo enxuto; e P9 (separação ontológica TAP ≠ EAP ≠ PDCA), que fundamenta a seção 2.5.</w:t>
      </w:r>
    </w:p>
    <w:p>
      <w:pPr>
        <w:spacing w:lineRule="auto"/>
      </w:pPr>
      <w:r>
        <w:rPr/>
        <w:t xml:space="preserve">As restrições aplicáveis são: restrição de escopo (MVP acadêmico), que fundamenta a fronteira IN/OUT e a aplicação do princípio YAGNI na seção 2.4.1; restrição de cronograma (prazo letivo inegociável), que fundamenta a conversão a posteriori da seção 2.3.3 e os gatilhos da seção 2.9; e restrição de qualidade (tempo restrito para testes), que fundamenta o DoD com cobertura da seção 2.6.</w:t>
      </w:r>
    </w:p>
    <w:p>
      <w:pPr>
        <w:spacing w:lineRule="auto"/>
      </w:pPr>
      <w:r>
        <w:rPr>
          <w:b/>
        </w:rPr>
        <w:t xml:space="preserve">Controle de Versões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Alteração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Responsável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19/09/2026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Emissão para análise prévia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Leonardo D. S. Setti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19/09/2026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Inserção do princípio YAGNI na fronteira 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Leonardo D. S. Setti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19/09/2026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Remoção de versões internas; Premissa P3; Tabelas 1 e 2; fusão de aceite e fracasso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Leonardo D. S. Setti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20/09/2026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Incorporação da ADR-004 (DoD item 8); Padrões A/B e P0–P3; Premissa P9 e Atividades Derivadas; Figuras 1 e 2; otimização ABNT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Leonardo D. S. Setti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20/09/2026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Resoluções do GP: (i) C1 — Nota de Canonicidade no §2.5 (baseline TAP 12/37; Glossário volátil; CR-001 removida) e ressalva correspondente suprimida no §2.7; (ii) C2 — §2.3.4 com stack SDD local canônica (llama.cpp + Qwen 32B + OpenCode), ADR-001 declarada em avaliação e regra de ADR específica para mudanças de stack (também referida no §2.8); (iii) C3 — §2.6 com nota de canonicidade do DoD/Padrões e Tabela 2 expandida com rastreabilidade cruzada (DoD item 8 e Padrões de redação)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Leonardo D. S. Setti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2026-09-19T21:52:58.458Z</dcterms:created>
  <dcterms:modified xsi:type="dcterms:W3CDTF">2026-09-19T21:52:58.458Z</dcterms:modified>
</cp:coreProperties>
</file>