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2FDD64B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 QUALIDADE</w:t>
      </w:r>
    </w:p>
    <w:p w14:paraId="77D1BD32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Plano de Gerenciamento da Qualidade</w:t>
      </w:r>
    </w:p>
    <w:p w14:paraId="7AF2C092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Projeto:</w:t>
      </w:r>
      <w:r>
        <w:rPr>
          <w:rFonts w:ascii="Calibri" w:hAnsi="Calibri" w:cs="Calibri"/>
          <w:sz w:val="24"/>
          <w:szCs w:val="24"/>
        </w:rPr>
        <w:t xml:space="preserve"> COGME — Conversor de Ganhos em Moeda Estrangeira </w:t>
      </w:r>
      <w:r>
        <w:rPr>
          <w:rFonts w:ascii="Calibri" w:hAnsi="Calibri" w:cs="Calibri"/>
          <w:b/>
          <w:bCs/>
          <w:sz w:val="24"/>
          <w:szCs w:val="24"/>
        </w:rPr>
        <w:t>Versão:</w:t>
      </w:r>
      <w:r>
        <w:rPr>
          <w:rFonts w:ascii="Calibri" w:hAnsi="Calibri" w:cs="Calibri"/>
          <w:sz w:val="24"/>
          <w:szCs w:val="24"/>
        </w:rPr>
        <w:t xml:space="preserve"> 1.1 </w:t>
      </w:r>
      <w:r>
        <w:rPr>
          <w:rFonts w:ascii="Calibri" w:hAnsi="Calibri" w:cs="Calibri"/>
          <w:b/>
          <w:bCs/>
          <w:sz w:val="24"/>
          <w:szCs w:val="24"/>
        </w:rPr>
        <w:t>Data:</w:t>
      </w:r>
      <w:r>
        <w:rPr>
          <w:rFonts w:ascii="Calibri" w:hAnsi="Calibri" w:cs="Calibri"/>
          <w:sz w:val="24"/>
          <w:szCs w:val="24"/>
        </w:rPr>
        <w:t xml:space="preserve"> 21/09/2026 </w:t>
      </w:r>
      <w:r>
        <w:rPr>
          <w:rFonts w:ascii="Calibri" w:hAnsi="Calibri" w:cs="Calibri"/>
          <w:b/>
          <w:bCs/>
          <w:sz w:val="24"/>
          <w:szCs w:val="24"/>
        </w:rPr>
        <w:t>Autores:</w:t>
      </w:r>
      <w:r>
        <w:rPr>
          <w:rFonts w:ascii="Calibri" w:hAnsi="Calibri" w:cs="Calibri"/>
          <w:sz w:val="24"/>
          <w:szCs w:val="24"/>
        </w:rPr>
        <w:t xml:space="preserve"> Leonardo David Silva Setti (GP), Fabricio de Lima Cabral, Edson Luis Silva </w:t>
      </w:r>
      <w:r>
        <w:rPr>
          <w:rFonts w:ascii="Calibri" w:hAnsi="Calibri" w:cs="Calibri"/>
          <w:b/>
          <w:bCs/>
          <w:sz w:val="24"/>
          <w:szCs w:val="24"/>
        </w:rPr>
        <w:t>Stakeholder-Avaliador:</w:t>
      </w:r>
      <w:r>
        <w:rPr>
          <w:rFonts w:ascii="Calibri" w:hAnsi="Calibri" w:cs="Calibri"/>
          <w:sz w:val="24"/>
          <w:szCs w:val="24"/>
        </w:rPr>
        <w:t xml:space="preserve"> Prof. Dr. Nivaldo Carleto — Fatec Taquaritinga / ADS</w:t>
      </w:r>
    </w:p>
    <w:p w14:paraId="04185401">
      <w:pPr>
        <w:spacing w:lineRule="auto"/>
      </w:pPr>
      <w:r>
        <w:rPr>
          <w:rFonts w:ascii="Calibri" w:hAnsi="Calibri" w:cs="Calibri"/>
          <w:sz w:val="24"/>
          <w:szCs w:val="24"/>
        </w:rPr>
        <w:t>Este plano deriva diretamente das Premissas P1 (governança híbrida), P3 (SDD com IA auditável), P4 (código como deliverable), P5 (disponibilidade de 20h/semana) e P9 (separação ontológica TAP ≠ EAP ≠ PDCA), e das Restrições de Qualidade e Cronograma do TAP (§8.5 e §8.2), respeitando os Domínios de Medição, Entrega e Melhoria do PMBOK® 7ª edição. Aplica-se o regime de freeze do TAP e as Notas de Contexto registradas na seção 5.9 (NC-Q1 a NC-Q4).</w:t>
      </w:r>
    </w:p>
    <w:p w14:paraId="24AEC7B8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5.1 IDENTIFICAÇÃO E PROPÓSITO</w:t>
      </w:r>
    </w:p>
    <w:p w14:paraId="13EE8C26">
      <w:pPr>
        <w:spacing w:lineRule="auto"/>
      </w:pPr>
      <w:r>
        <w:rPr>
          <w:rFonts w:ascii="Calibri" w:hAnsi="Calibri" w:cs="Calibri"/>
          <w:sz w:val="24"/>
          <w:szCs w:val="24"/>
        </w:rPr>
        <w:t>Este Plano de Gerenciamento da Qualidade estabelece os mecanismos para garantir que o COGME atenda aos critérios de aceite técnicos: cobertura de testes ≥ 80%, UAT sem defeitos críticos/bloqueantes, e aplicação sistemática de ferramentas da qualidade (12 ciclos PDCA + 3 diagramas de Ishikawa 6M).</w:t>
      </w:r>
    </w:p>
    <w:p w14:paraId="225D0459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Função ontológica:</w:t>
      </w:r>
      <w:r>
        <w:rPr>
          <w:rFonts w:ascii="Calibri" w:hAnsi="Calibri" w:cs="Calibri"/>
          <w:sz w:val="24"/>
          <w:szCs w:val="24"/>
        </w:rPr>
        <w:t xml:space="preserve"> O plano não duplica gates de qualidade do Escopo §2.6 (DoR/DoD) — operacionaliza critérios técnicos de qualidade específicos para código, testes e documentação, garantindo conformidade com REQ-08, REQ-09 e REQ-10.</w:t>
      </w:r>
    </w:p>
    <w:p w14:paraId="7C857B1B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Domínios PMBOK 7ª:</w:t>
      </w:r>
      <w:r>
        <w:rPr>
          <w:rFonts w:ascii="Calibri" w:hAnsi="Calibri" w:cs="Calibri"/>
          <w:sz w:val="24"/>
          <w:szCs w:val="24"/>
        </w:rPr>
        <w:t xml:space="preserve"> Medição (métricas de qualidade), Entrega (critérios de aceite) e Melhoria (ciclos PDCA).</w:t>
      </w:r>
    </w:p>
    <w:p w14:paraId="7420F0EB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Processos PMBOK 6ª (dicionário, obsolescência declarada conforme Integração §1.2.4):</w:t>
      </w:r>
      <w:r>
        <w:rPr>
          <w:rFonts w:ascii="Calibri" w:hAnsi="Calibri" w:cs="Calibri"/>
          <w:sz w:val="24"/>
          <w:szCs w:val="24"/>
        </w:rPr>
        <w:t xml:space="preserve"> 8.1 Planejar o Gerenciamento da Qualidade, 8.2 Gerenciar a Qualidade, 8.3 Controlar a Qualidade.</w:t>
      </w:r>
    </w:p>
    <w:p w14:paraId="7EDD76FF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Trade-off declarado:</w:t>
      </w:r>
      <w:r>
        <w:rPr>
          <w:rFonts w:ascii="Calibri" w:hAnsi="Calibri" w:cs="Calibri"/>
          <w:sz w:val="24"/>
          <w:szCs w:val="24"/>
        </w:rPr>
        <w:t xml:space="preserve"> Abre-se mão de burocracia documental em favor de automação (pipeline CI) e melhoria contínua (PDCA por fase), alinhado ao Princípio "Foco em Valor" (PMBOK 7ª) e ao Valor Ágil "Software funcionando sobre documentação abrangente".</w:t>
      </w:r>
    </w:p>
    <w:p w14:paraId="037923EE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5.2 ABORDAGEM DE GERENCIAMENTO DA QUALIDADE</w:t>
      </w:r>
    </w:p>
    <w:p w14:paraId="68EF4436">
      <w:pPr>
        <w:spacing w:lineRule="auto"/>
      </w:pPr>
      <w:r>
        <w:rPr>
          <w:rFonts w:ascii="Calibri" w:hAnsi="Calibri" w:cs="Calibri"/>
          <w:sz w:val="24"/>
          <w:szCs w:val="24"/>
        </w:rPr>
        <w:t>A qualidade do COGME opera em três dimensões complementares: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838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Dimensão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1CF7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Objeto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23C5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Mecanismo de Controle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0432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Fonte Canônica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A34E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Preventiva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D2AD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Qualidade do código e arquitetura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FD80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Code Review + SDD com IA auditável + Clean Code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3FF8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Escopo §2.6 + ADR-004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88F6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Detectiva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EFAE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Cobertura de testes e defeitos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12E8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Pipeline CI + pytest + coverage.py ≥ 80%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402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REQ-08 + N6.1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DD6E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Corretiva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191F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Melhoria contínua de processo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4379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12 ciclos PDCA (um por fase da EAP) + Ishikawa 6M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77D0F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REQ-10 + N6.3</w:t>
            </w:r>
          </w:p>
        </w:tc>
      </w:tr>
    </w:tbl>
    <w:p w14:paraId="060E9F01">
      <w:pPr>
        <w:spacing w:lineRule="auto"/>
      </w:pPr>
      <w:r/>
    </w:p>
    <w:p w14:paraId="7B71BC4A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Regra de ouro:</w:t>
      </w:r>
      <w:r>
        <w:rPr>
          <w:rFonts w:ascii="Calibri" w:hAnsi="Calibri" w:cs="Calibri"/>
          <w:sz w:val="24"/>
          <w:szCs w:val="24"/>
        </w:rPr>
        <w:t xml:space="preserve"> Nenhum card migra para Done sem: (i) pipeline CI verde, (ii) coverage ≥ 80% no módulo afetado, (iii) code review aprovado, (iv) tasklist 100% concluída (se aplicável, ADR-004).</w:t>
      </w:r>
    </w:p>
    <w:p w14:paraId="100E0BDC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Hierarquia de resolução de conflitos (aplicada à qualidade):</w:t>
      </w:r>
    </w:p>
    <w:p w14:paraId="6160DE24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Critérios de aceite do TAP §3.2 (coverage ≥ 80%, UAT sem defeitos críticos)</w:t>
      </w:r>
    </w:p>
    <w:p w14:paraId="05714607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Clean Code e ACID (Premissa P5)</w:t>
      </w:r>
    </w:p>
    <w:p w14:paraId="2CF5B0CD">
      <w:pPr>
        <w:numPr>
          <w:ilvl w:val="0"/>
          <w:numId w:val="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Conveniência técnica (preferência do desenvolvedor)</w:t>
      </w:r>
    </w:p>
    <w:p w14:paraId="45EE1B3E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[FIG-1 — Fluxo de Garantia da Qualidade]</w:t>
      </w:r>
      <w:r>
        <w:rPr>
          <w:rFonts w:ascii="Calibri" w:hAnsi="Calibri" w:cs="Calibri"/>
          <w:sz w:val="24"/>
          <w:szCs w:val="24"/>
        </w:rPr>
        <w:t>SVG gerado — Fluxograma vertical com gates de qualidade sequenciais</w:t>
      </w:r>
    </w:p>
    <w:p w14:paraId="6CE557A7">
      <w:pPr>
        <w:spacing w:lineRule="auto"/>
      </w:pPr>
      <w:r>
        <w:drawing>
          <wp:inline distT="0" distB="0" distL="0" distR="0">
            <wp:extent cx="5486400" cy="5210175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6C23">
      <w:pPr>
        <w:spacing w:lineRule="auto"/>
      </w:pPr>
      <w:r>
        <w:rPr>
          <w:rFonts w:ascii="Calibri" w:hAnsi="Calibri" w:cs="Calibri"/>
          <w:sz w:val="24"/>
          <w:szCs w:val="24"/>
        </w:rPr>
        <w:t>Conteúdo: Fluxograma vertical com gates de qualidade sequenciais, destacando revisão humana para código SDD-IA e critérios binários de aprovação. Necessidade real: Materializa visualmente o DoD técnico, demonstrando ao avaliador que qualidade não é inspeção final, mas processo contínuo com gates automáticos (CI) e manuais (review).</w:t>
      </w:r>
    </w:p>
    <w:p w14:paraId="6C1D6F3F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5.3 MÉTRICAS DE QUALIDADE</w:t>
      </w:r>
    </w:p>
    <w:p w14:paraId="7442B17C">
      <w:pPr>
        <w:spacing w:lineRule="auto"/>
      </w:pPr>
      <w:r>
        <w:rPr>
          <w:rFonts w:ascii="Calibri" w:hAnsi="Calibri" w:cs="Calibri"/>
          <w:sz w:val="24"/>
          <w:szCs w:val="24"/>
        </w:rPr>
        <w:t>Dada a inaplicabilidade de EVM (ADR-003, Integração §1.6.2), o controle de qualidade opera por métricas técnicas automatizadas: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09263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Métrica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D5C0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Fórmula/Definição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F424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Meta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6499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Frequência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E2E2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Responsável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09812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B355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(Linhas testadas / Total de linhas) × 100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7028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 80%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6D77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Por push (CI)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61A5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Pipeline + GP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385E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Defeitos Críticos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C60D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Número de bugs bloqueantes/críticos em UAT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E621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0623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Por marco (M3, M4)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97D1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 + UAT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6BC21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Taxa de Aprovação em Review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782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(PRs aprovados / Total de PRs) × 100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C9BC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 90%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8768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Semanal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507A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BF599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Technical Debt Ratio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B3A4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(Dívida técnica / Custo total) — estimado via SonarQube Free Tier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FF7F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&lt; 5%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7E73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Por marco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2DD5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</w:t>
            </w:r>
          </w:p>
        </w:tc>
      </w:tr>
      <w:tr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A06A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Tempo de Resposta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614D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Latência p95 das requisições da API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AFD6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≤ 3s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995A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M3 (homologação)</w:t>
            </w:r>
          </w:p>
        </w:tc>
        <w:tc>
          <w:tcPr>
            <w:tcW w:w="2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159C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Pipeline + Edson</w:t>
            </w:r>
          </w:p>
        </w:tc>
      </w:tr>
    </w:tbl>
    <w:p w14:paraId="1F8449C8">
      <w:pPr>
        <w:spacing w:lineRule="auto"/>
      </w:pPr>
      <w:r/>
    </w:p>
    <w:p w14:paraId="06649648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Nota (I5):</w:t>
      </w:r>
      <w:r>
        <w:rPr>
          <w:rFonts w:ascii="Calibri" w:hAnsi="Calibri" w:cs="Calibri"/>
          <w:sz w:val="24"/>
          <w:szCs w:val="24"/>
        </w:rPr>
        <w:t xml:space="preserve"> SonarQube Free Tier é utilizado para análise estática de dívida técnica, em conformidade com TAP §11 (proibição de ferramentas pagas). O Free Tier fornece análise básica sem custos.</w:t>
      </w:r>
    </w:p>
    <w:p w14:paraId="1192F489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Gatilhos de ação corretiva:</w:t>
      </w:r>
    </w:p>
    <w:p w14:paraId="78AF74DE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Se Coverage &lt; 80% por 2 commits consecutivos → bloqueio de merge até correção</w:t>
      </w:r>
    </w:p>
    <w:p w14:paraId="2862B182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Se Defeitos Críticos &gt; 0 em UAT → retrabalho imediato + congelamento de novas features</w:t>
      </w:r>
    </w:p>
    <w:p w14:paraId="69A09E6B">
      <w:pPr>
        <w:numPr>
          <w:ilvl w:val="0"/>
          <w:numId w:val="2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Se Taxa de Aprovação em Review &lt; 90% por 2 semanas → retrospectiva extraordinária + revisão de padrões de código</w:t>
      </w:r>
    </w:p>
    <w:p w14:paraId="515CAD1F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[FIG-2 — Dashboard de Métricas de Qualidade]</w:t>
      </w:r>
      <w:r>
        <w:rPr>
          <w:rFonts w:ascii="Calibri" w:hAnsi="Calibri" w:cs="Calibri"/>
          <w:sz w:val="24"/>
          <w:szCs w:val="24"/>
        </w:rPr>
        <w:t>Exclusão justificada por GMV</w:t>
      </w:r>
    </w:p>
    <w:p w14:paraId="1A7898DC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Decisão:</w:t>
      </w:r>
      <w:r>
        <w:rPr>
          <w:rFonts w:ascii="Calibri" w:hAnsi="Calibri" w:cs="Calibri"/>
          <w:sz w:val="24"/>
          <w:szCs w:val="24"/>
        </w:rPr>
        <w:t xml:space="preserve"> Dashboard separado não será produzido. </w:t>
      </w:r>
      <w:r>
        <w:rPr>
          <w:rFonts w:ascii="Calibri" w:hAnsi="Calibri" w:cs="Calibri"/>
          <w:b/>
          <w:bCs/>
          <w:sz w:val="24"/>
          <w:szCs w:val="24"/>
        </w:rPr>
        <w:t>Justificativa GMV:</w:t>
      </w:r>
      <w:r>
        <w:rPr>
          <w:rFonts w:ascii="Calibri" w:hAnsi="Calibri" w:cs="Calibri"/>
          <w:sz w:val="24"/>
          <w:szCs w:val="24"/>
        </w:rPr>
        <w:t xml:space="preserve"> GitHub Insights + coverage.py + pytest já fornecem visibilidade nativa sem overhead documental. Produzir artefato duplicado violaria o princípio de Governança Mínima Viável (OKB §3.2). </w:t>
      </w:r>
      <w:r>
        <w:rPr>
          <w:rFonts w:ascii="Calibri" w:hAnsi="Calibri" w:cs="Calibri"/>
          <w:b/>
          <w:bCs/>
          <w:sz w:val="24"/>
          <w:szCs w:val="24"/>
        </w:rPr>
        <w:t>Alternativa:</w:t>
      </w:r>
      <w:r>
        <w:rPr>
          <w:rFonts w:ascii="Calibri" w:hAnsi="Calibri" w:cs="Calibri"/>
          <w:sz w:val="24"/>
          <w:szCs w:val="24"/>
        </w:rPr>
        <w:t xml:space="preserve"> Evidências serão capturadas diretamente do GitHub Actions e relatórios de coverage quando solicitadas pelo Prof. Dr. Nivaldo Carleto em avaliação.</w:t>
      </w:r>
    </w:p>
    <w:p w14:paraId="09688B7F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5.4 CRITÉRIOS DE ACEITE TÉCNICOS</w:t>
      </w:r>
    </w:p>
    <w:p w14:paraId="7AC884E6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5.4.1 Código-Fonte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E5D5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Critério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3E5B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2496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Verificação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870C0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Clean Code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FACC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Nomes significativos, funções ≤ 20 linhas, sem duplicação &gt; 3 linhas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33625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Code Review + pylint/flake8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C364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Type Safety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08FC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Type hints em 100% das funções públicas (Python 3.11+)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F3BD8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mypy --strict (ferramenta complementar de análise estática, não parte da stack principal ADR-001)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31720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Documentação Inline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CD90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Docstrings em todas as classes e funções públicas (padrão Google)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D526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pydocstyle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35F0E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SDD Auditável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BC558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Commits de código gerado por IA declaram co-autoria e link para prompt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BA96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 log + .ai/handoffs/</w:t>
            </w:r>
          </w:p>
        </w:tc>
      </w:tr>
    </w:tbl>
    <w:p w14:paraId="0C143EE3">
      <w:pPr>
        <w:spacing w:lineRule="auto"/>
      </w:pPr>
      <w:r/>
    </w:p>
    <w:p w14:paraId="52E3CDE4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Nota (I6):</w:t>
      </w:r>
      <w:r>
        <w:rPr>
          <w:rFonts w:ascii="Calibri" w:hAnsi="Calibri" w:cs="Calibri"/>
          <w:sz w:val="24"/>
          <w:szCs w:val="24"/>
        </w:rPr>
        <w:t xml:space="preserve"> mypy é ferramenta complementar de análise estática de tipos, não listada na ADR-001 (stack principal). Sua utilização é opcional e recomendada para garantir type safety, sem impacto no orçamento (FOSS, MIT License).</w:t>
      </w:r>
    </w:p>
    <w:p w14:paraId="08504982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5.4.2 Testes Automatizados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B41E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Critério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C763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F9B7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Verificação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E511C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Cobertura Mínima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3B6D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≥ 80% de linhas testadas (unitários + integração)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B8EB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coverage.py report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385E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Testes Críticos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F23B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dos fluxos REQ-01 a REQ-07 cobertos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AEE2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coverage branch + UAT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68D5E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Tempo de Execução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268F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Suite completa em ≤ 5 minutos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47B6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Actions CI (REQ-11)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10CA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Isolamento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3D15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Testes não dependem de ordem de execução ou estado global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C098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pytest --random-order</w:t>
            </w:r>
          </w:p>
        </w:tc>
      </w:tr>
    </w:tbl>
    <w:p w14:paraId="565A4C67">
      <w:pPr>
        <w:spacing w:lineRule="auto"/>
      </w:pPr>
      <w:r/>
    </w:p>
    <w:p w14:paraId="7E349C64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5.4.3 Documentação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B4B4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Critério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8537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7C1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Verificação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5C253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Rastreabilidade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3BD1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dos requisitos (REQ-01 a REQ-15) mapeados a cards e testes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BA68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Matriz de rastreabilidade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63112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Atualização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505F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Documentação atualizada antes do merge (código + docs no mesmo PR)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729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Code Review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6983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Consistência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7CAC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Glossário e OKB atualizados quando novos termos/decisões surgirem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E5F6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Refinement semanal</w:t>
            </w:r>
          </w:p>
        </w:tc>
      </w:tr>
    </w:tbl>
    <w:p w14:paraId="00994C2B">
      <w:pPr>
        <w:spacing w:lineRule="auto"/>
      </w:pPr>
      <w:r/>
    </w:p>
    <w:p w14:paraId="318702D9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5.5 FERRAMENTAS DA QUALIDADE</w:t>
      </w:r>
    </w:p>
    <w:p w14:paraId="1D958AE8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5.5.1 Pipeline de Integração Contínua (CI)</w:t>
      </w:r>
    </w:p>
    <w:p w14:paraId="3BAEB65E">
      <w:pPr>
        <w:spacing w:lineRule="auto"/>
      </w:pPr>
      <w:r>
        <w:rPr>
          <w:rFonts w:ascii="Calibri" w:hAnsi="Calibri" w:cs="Calibri"/>
          <w:sz w:val="24"/>
          <w:szCs w:val="24"/>
        </w:rPr>
        <w:t>Conforme N7.1 da EAP e REQ-11, o pipeline CI executa automaticamente a cada push:</w:t>
      </w:r>
    </w:p>
    <w:p w14:paraId="12296107">
      <w:pPr>
        <w:spacing w:lineRule="auto"/>
      </w:pPr>
      <w:r>
        <w:rPr>
          <w:rFonts w:ascii="Calibri" w:hAnsi="Calibri" w:cs="Calibri"/>
          <w:sz w:val="24"/>
          <w:szCs w:val="24"/>
        </w:rPr>
        <w:t># .github/workflows/ci.yml (resumo)name:CIPipelineon: [push, pull_request] jobs:test:runs-on:ubuntu-lateststeps:-uses:actions/checkout@v3-name:SetupPythonuses:actions/setup-python@v4with:python-version:'3.11'-name:Installdependenciesrun:pipinstall-rrequirements.txt-name:Lintrun:flake8.&amp;&amp;mypy--strictcogme/-name:Testwithpytestrun:pytest--cov=cogme--cov-report=xml--cov-fail-under=80-name:Uploadcoverageuses:codecov/codecov-action@v3</w:t>
      </w:r>
    </w:p>
    <w:p w14:paraId="6F4AA675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Critérios de qualidade do pipeline:</w:t>
      </w:r>
    </w:p>
    <w:p w14:paraId="091B1CE7">
      <w:pPr>
        <w:numPr>
          <w:ilvl w:val="0"/>
          <w:numId w:val="3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Execução completa em ≤ 5 minutos (REQ-11)</w:t>
      </w:r>
    </w:p>
    <w:p w14:paraId="53EBF183">
      <w:pPr>
        <w:numPr>
          <w:ilvl w:val="0"/>
          <w:numId w:val="3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Falha imediata se coverage &lt; 80%</w:t>
      </w:r>
    </w:p>
    <w:p w14:paraId="1F482A26">
      <w:pPr>
        <w:numPr>
          <w:ilvl w:val="0"/>
          <w:numId w:val="3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Bloqueio de merge se pipeline vermelho</w:t>
      </w:r>
    </w:p>
    <w:p w14:paraId="2E3776BD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5.5.2 Ciclos PDCA por Fase da EAP</w:t>
      </w:r>
    </w:p>
    <w:p w14:paraId="20ADFE25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Fundamentação:</w:t>
      </w:r>
      <w:r>
        <w:rPr>
          <w:rFonts w:ascii="Calibri" w:hAnsi="Calibri" w:cs="Calibri"/>
          <w:sz w:val="24"/>
          <w:szCs w:val="24"/>
        </w:rPr>
        <w:t xml:space="preserve"> Cada uma das 12 fases da EAP (N1-N12, conforme baseline TAP §4) possui um ciclo PDCA específico, garantindo melhoria contínua sem burocracia excessiva. O TAP não integra ciclos PDCA (Premissa P9).</w:t>
      </w:r>
    </w:p>
    <w:p w14:paraId="59631B31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Formato GMV:</w:t>
      </w:r>
      <w:r>
        <w:rPr>
          <w:rFonts w:ascii="Calibri" w:hAnsi="Calibri" w:cs="Calibri"/>
          <w:sz w:val="24"/>
          <w:szCs w:val="24"/>
        </w:rPr>
        <w:t xml:space="preserve"> Cada PDCA é documentado em máximo 6 linhas: Problema → Ação → Responsável → Métrica → Verificação → Lição.</w:t>
      </w:r>
    </w:p>
    <w:p w14:paraId="3A01A700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5.6 CICLOS PDCA CONSOLIDADOS (12 FASES EAP)</w:t>
      </w:r>
    </w:p>
    <w:p w14:paraId="309B765F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PDCA-N1: Iniciação e Planejamento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52B4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D716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5BA11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E63D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Risco de escopo mal definido ou premissas inválidas no início do projeto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5BDE7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04EE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Revisão em pares do TAP e EAP antes da submissão no M1; validação de premissas P1-P9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0AF4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4A98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(GP) + Fabricio (par)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AC6A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8FDB5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Zero inconsistências críticas identificadas pelo Prof. Dr. Nivaldo Carleto no M1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BBFB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8109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Validação acadêmica no M1 (22/09/2026)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7179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A621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/docs/conhecimento/licoes-aprendidas/MF1.md</w:t>
            </w:r>
          </w:p>
        </w:tc>
      </w:tr>
    </w:tbl>
    <w:p w14:paraId="19E37C6B">
      <w:pPr>
        <w:spacing w:lineRule="auto"/>
      </w:pPr>
      <w:r/>
    </w:p>
    <w:p w14:paraId="4C17E69D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PDCA-N2: Levantamento de Requisitos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91D2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9CFF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9AEFC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4FF9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Requisitos ambíguos ou não rastreáveis a objetivos SMART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66CE0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540B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Conversão de REQ-01 a REQ-15 para formato User Story GWT (Padrão B, OKB §9.3) até M2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25C9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4F59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Edson + Leonardo (revisão)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D31B0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333D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dos requisitos Must (REQ-01 a REQ-09, REQ-11, REQ-15) com critérios GWT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3EAB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DD26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Refinement semanal (23/09, 30/09)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ECD4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A413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/docs/conhecimento/licoes-aprendidas/MF1.md</w:t>
            </w:r>
          </w:p>
        </w:tc>
      </w:tr>
    </w:tbl>
    <w:p w14:paraId="7ED7B7F1">
      <w:pPr>
        <w:spacing w:lineRule="auto"/>
      </w:pPr>
      <w:r/>
    </w:p>
    <w:p w14:paraId="02E9E8E8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PDCA-N3: Modelagem e Prototipação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26BA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8F70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2099F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ECB2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Arquitetura ou DER não validados antes da implementação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358E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4C31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Protótipo "Hello World" da stack (N4.1) + revisão de DER antes de N5 (Desenvolvimento)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BAF63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232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Fabricio (DER) + Edson (protótipo)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0356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17312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Zero retrabalho de arquitetura após início de N5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F9839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1B8E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Marco M2 (30/09/2026) — pipeline CI verde + DER versionado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4F57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47E8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/docs/conhecimento/licoes-aprendidas/MF1.md</w:t>
            </w:r>
          </w:p>
        </w:tc>
      </w:tr>
    </w:tbl>
    <w:p w14:paraId="1565AE27">
      <w:pPr>
        <w:spacing w:lineRule="auto"/>
      </w:pPr>
      <w:r/>
    </w:p>
    <w:p w14:paraId="1903A0DF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PDCA-N4: Configuração de Ambiente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703D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E9FE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9EDC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2E2A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Incompatibilidade de ferramentas FOSS ou ambiente local instável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B00671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4F5E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Validação de stack via protótipo funcional + auditoria de licenças (N4.4)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41C2A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5C21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(stack) + Edson (auditoria)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270B2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400B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das dependências com licença OSI-approved (Custos §4.5)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D8631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B1C2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M2 (30/09/2026) — /docs/dependencias/registro.md atualizado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11AD1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E49A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/docs/conhecimento/licoes-aprendidas/MF1.md</w:t>
            </w:r>
          </w:p>
        </w:tc>
      </w:tr>
    </w:tbl>
    <w:p w14:paraId="31FD3F98">
      <w:pPr>
        <w:spacing w:lineRule="auto"/>
      </w:pPr>
      <w:r/>
    </w:p>
    <w:p w14:paraId="1F963946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PDCA-N5: Desenvolvimento do Sistema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B0D0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BF2C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815C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C5B4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Código sem testes, coverage insuficiente ou SDD-IA sem revisão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207C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C057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TDD quando aplicável + code review obrigatório + tasklists Markdown (ADR-004)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343B1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67C0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Todos (desenvolvedores) + GP (supervisão)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A03CE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CFE0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Coverage ≥ 80% por módulo; 100% dos commits SDD-IA com co-autoria declarada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73279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B988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Pipeline CI verde a cada push; Code Review antes de merge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FA2CF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387E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/docs/conhecimento/licoes-aprendidas/MF2.md</w:t>
            </w:r>
          </w:p>
        </w:tc>
      </w:tr>
    </w:tbl>
    <w:p w14:paraId="7CAF86C3">
      <w:pPr>
        <w:spacing w:lineRule="auto"/>
      </w:pPr>
      <w:r/>
    </w:p>
    <w:p w14:paraId="53F450B4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PDCA-N6: Garantia da Qualidade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0797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14A2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EE803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56B9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Defeitos críticos em UAT ou coverage abaixo da meta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9C8B9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75B9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UAT estruturado com roteiro de testes + Ishikawa 6M para defeitos recorrentes (seção 5.7)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0165C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0121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Edson (UAT) + GP (Ishikawa)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D9EFF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1B1D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Zero defeitos críticos/bloqueantes; coverage ≥ 80% consolidado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D44EA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E76E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M3 (15/11/2026) — relatório UAT + coverage.xml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FB9BB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F82D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/docs/conhecimento/licoes-aprendidas/MF2.md</w:t>
            </w:r>
          </w:p>
        </w:tc>
      </w:tr>
    </w:tbl>
    <w:p w14:paraId="663D3133">
      <w:pPr>
        <w:spacing w:lineRule="auto"/>
      </w:pPr>
      <w:r/>
    </w:p>
    <w:p w14:paraId="18A1C672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PDCA-N7: DevOps e CI/CD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9757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868B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B375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94B6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Pipeline lento (&gt; 5min, conforme REQ-11) ou instável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F6D3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A295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Otimização de testes paralelos + cache de dependências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55FD6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EE72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(CI) + Fabricio (otimização)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C36B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D64E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Tempo de CI ≤ 5 minutos (REQ-11); taxa de sucesso ≥ 95%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17CDD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52C8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Actions Insights (semanal)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A39A6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2AEA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/docs/conhecimento/licoes-aprendidas/MF2.md</w:t>
            </w:r>
          </w:p>
        </w:tc>
      </w:tr>
    </w:tbl>
    <w:p w14:paraId="73AD3920">
      <w:pPr>
        <w:spacing w:lineRule="auto"/>
      </w:pPr>
      <w:r/>
    </w:p>
    <w:p w14:paraId="0C11C0C4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PDCA-N8: Comunicação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9B3E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4A37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29DC7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50E5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Falhas de comunicação entre equipe ou com stakeholder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B85FE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6A45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Daily assíncrona padronizada + refinement semanal com pauta fixa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846A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808C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 (facilitação) + equipe (participação)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C437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ED02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das dailies realizadas; zero cards bloqueados &gt; 48h sem comunicação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7E70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66D2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Issues (daily) + GitHub Projects (refinement)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64396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E064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/docs/conhecimento/licoes-aprendidas/MF2.md</w:t>
            </w:r>
          </w:p>
        </w:tc>
      </w:tr>
    </w:tbl>
    <w:p w14:paraId="5024DF73">
      <w:pPr>
        <w:spacing w:lineRule="auto"/>
      </w:pPr>
      <w:r/>
    </w:p>
    <w:p w14:paraId="28AD0349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PDCA-N9: Base de Conhecimento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0592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EF1A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82CEF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518A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ADRs tardias ou prompts SDD não catalogados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7D585F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1D2E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Catálogo de prompts em .ai/handoffs/ + ADRs emitidas antes de M2 (quando aplicável)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21D9E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A85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(ADRs) + todos (prompts)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EDD2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63C0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dos prompts versionados; ≤ 30% de ADRs tardias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42F8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536C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/docs/decisoes/ + .ai/handoffs/ (semanal)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AC41F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82E5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/docs/conhecimento/licoes-aprendidas/MF3.md</w:t>
            </w:r>
          </w:p>
        </w:tc>
      </w:tr>
    </w:tbl>
    <w:p w14:paraId="3C80EC32">
      <w:pPr>
        <w:spacing w:lineRule="auto"/>
      </w:pPr>
      <w:r/>
    </w:p>
    <w:p w14:paraId="1E94E43E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PDCA-N10: Gestão de Mudanças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BDBD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451B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9BFAF5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906A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Mudanças não registradas ou scope creep &gt; 15% (Escopo §2.7, Integração §1.9)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B1750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3D31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Label</w:t>
            </w:r>
          </w:p>
          <w:p w14:paraId="3967C6E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change-request</w:t>
            </w:r>
          </w:p>
          <w:p w14:paraId="37D3C9A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 xml:space="preserve"> obrigatória + análise de impacto em ≤ 48h (Integração §1.7)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933A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C8B6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 (CCB) + equipe (solicitações)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C5E2A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642A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das mudanças registradas; scope creep &lt; 15% (Escopo §2.7)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0F7CB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52CD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GitHub Issues com label</w:t>
            </w:r>
          </w:p>
          <w:p w14:paraId="1A360B6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  <w:highlight w:val="lightGray"/>
              </w:rPr>
              <w:t>change-request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E4CD2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FFFB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/docs/conhecimento/licoes-aprendidas/MF2.md</w:t>
            </w:r>
          </w:p>
        </w:tc>
      </w:tr>
    </w:tbl>
    <w:p w14:paraId="3FA4E5F1">
      <w:pPr>
        <w:spacing w:lineRule="auto"/>
      </w:pPr>
      <w:r/>
    </w:p>
    <w:p w14:paraId="394E3DE4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PDCA-N11: Documentação do Projeto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C705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3D80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E4AFE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C543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Documentação desatualizada ou inconsistente com código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F77D3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F518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Código + docs no mesmo PR + revisão de consistência antes de M4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32EC2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E8EF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Todos (documentação) + GP (consolidação)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C85A1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352C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dos requisitos mapeados a docs; zero inconsistências TAP → código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3048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DE1B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M4 (15/12/2026) — documentação consolidada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23C6C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07C8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/docs/conhecimento/licoes-aprendidas/MF3.md</w:t>
            </w:r>
          </w:p>
        </w:tc>
      </w:tr>
    </w:tbl>
    <w:p w14:paraId="3C9BE9E7">
      <w:pPr>
        <w:spacing w:lineRule="auto"/>
      </w:pPr>
      <w:r/>
    </w:p>
    <w:p w14:paraId="648A9899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PDCA-N12: Encerramento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73B7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Etapa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7A01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Descrição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65C94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Problema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793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Lições aprendidas não consolidadas ou critérios SMART não verificados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4762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D24C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Checklist de encerramento + lições finais + tag de release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8885B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DCF3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GP (consolidação) + equipe (lições)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284FA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Métrica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1D76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100% dos critérios SMART verificados; lições consolidadas em /docs/conhecimento/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A0838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Verificação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B612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M4 (15/12/2026) — validação acadêmica + tag de release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66867E">
            <w:pPr>
              <w:spacing w:lineRule="auto"/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Lição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C3C3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 ser registrada em /docs/conhecimento/licoes-aprendidas/MF3.md</w:t>
            </w:r>
          </w:p>
        </w:tc>
      </w:tr>
    </w:tbl>
    <w:p w14:paraId="13018DF9">
      <w:pPr>
        <w:spacing w:lineRule="auto"/>
      </w:pPr>
      <w:r/>
    </w:p>
    <w:p w14:paraId="0614B398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5.7 DIAGRAMA DE ISHIKAWA 6M (3 ANÁLISES)</w:t>
      </w:r>
    </w:p>
    <w:p w14:paraId="16539E49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Fundamentação:</w:t>
      </w:r>
      <w:r>
        <w:rPr>
          <w:rFonts w:ascii="Calibri" w:hAnsi="Calibri" w:cs="Calibri"/>
          <w:sz w:val="24"/>
          <w:szCs w:val="24"/>
        </w:rPr>
        <w:t xml:space="preserve"> Conforme REQ-10 e N6.3 da EAP, três diagramas de Ishikawa 6M são aplicados para análise de causa-raiz de problemas críticos de qualidade. Cada diagrama foca em um efeito indesejado específico.</w:t>
      </w:r>
    </w:p>
    <w:p w14:paraId="185FACD0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Nota sobre qualidade de processo vs. produto (I3):</w:t>
      </w:r>
      <w:r>
        <w:rPr>
          <w:rFonts w:ascii="Calibri" w:hAnsi="Calibri" w:cs="Calibri"/>
          <w:sz w:val="24"/>
          <w:szCs w:val="24"/>
        </w:rPr>
        <w:t xml:space="preserve"> Os dois primeiros diagramas (Coverage &lt; 80% e Defeitos Críticos em UAT) analisam qualidade de produto. O terceiro diagrama (Cycle Time &gt; 3 dias) analisa qualidade de processo — especificamente, eficiência do fluxo de trabalho. Ambos os tipos são ferramentas da qualidade conforme REQ-10, e a delimitação entre eles é explicitada na seção 5.8.2.</w:t>
      </w:r>
    </w:p>
    <w:p w14:paraId="274CFD16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Ishikawa-1: Coverage &lt; 80%</w:t>
      </w:r>
    </w:p>
    <w:p w14:paraId="63B981B8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[FIG-3 — Ishikawa: Coverage Insuficiente]</w:t>
      </w:r>
      <w:r>
        <w:rPr>
          <w:rFonts w:ascii="Calibri" w:hAnsi="Calibri" w:cs="Calibri"/>
          <w:sz w:val="24"/>
          <w:szCs w:val="24"/>
        </w:rPr>
        <w:t>SVG gerado — Diagrama espinha-de-peixe tradicional 6M</w:t>
      </w:r>
    </w:p>
    <w:p w14:paraId="453CE90D">
      <w:pPr>
        <w:spacing w:lineRule="auto"/>
      </w:pPr>
      <w:r>
        <w:drawing>
          <wp:inline distT="0" distB="0" distL="0" distR="0">
            <wp:extent cx="5486400" cy="2676525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B455">
      <w:pPr>
        <w:spacing w:lineRule="auto"/>
      </w:pPr>
      <w:r>
        <w:rPr>
          <w:rFonts w:ascii="Calibri" w:hAnsi="Calibri" w:cs="Calibri"/>
          <w:sz w:val="24"/>
          <w:szCs w:val="24"/>
        </w:rPr>
        <w:t>Conteúdo: Diagrama 6M (Método, Mão de Obra, Máquina, Material, Medida, Meio Ambiente) com causas-raiz específicas do COGME. Necessidade real: Permite ao GP e equipe identificar ações corretivas priorizadas (ex: tornar coverage gate obrigatório no CI) em vez de tratar sintomas.</w:t>
      </w:r>
    </w:p>
    <w:p w14:paraId="6BE3E965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Ações corretivas derivadas:</w:t>
      </w:r>
    </w:p>
    <w:p w14:paraId="1A0C15F6">
      <w:pPr>
        <w:numPr>
          <w:ilvl w:val="0"/>
          <w:numId w:val="4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Método:</w:t>
      </w:r>
      <w:r>
        <w:rPr>
          <w:rFonts w:ascii="Calibri" w:hAnsi="Calibri" w:cs="Calibri"/>
          <w:sz w:val="24"/>
          <w:szCs w:val="24"/>
        </w:rPr>
        <w:t xml:space="preserve"> Implementar TDD obrigatório para REQ-01 a REQ-07 (críticos)</w:t>
      </w:r>
    </w:p>
    <w:p w14:paraId="6A321877">
      <w:pPr>
        <w:numPr>
          <w:ilvl w:val="0"/>
          <w:numId w:val="4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Medida:</w:t>
      </w:r>
      <w:r>
        <w:rPr>
          <w:rFonts w:ascii="Calibri" w:hAnsi="Calibri" w:cs="Calibri"/>
          <w:sz w:val="24"/>
          <w:szCs w:val="24"/>
        </w:rPr>
        <w:t xml:space="preserve"> Configurar --cov-fail-under=80 no pipeline CI (gate bloqueante)</w:t>
      </w:r>
    </w:p>
    <w:p w14:paraId="6AFD46B9">
      <w:pPr>
        <w:numPr>
          <w:ilvl w:val="0"/>
          <w:numId w:val="4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Mão de Obra:</w:t>
      </w:r>
      <w:r>
        <w:rPr>
          <w:rFonts w:ascii="Calibri" w:hAnsi="Calibri" w:cs="Calibri"/>
          <w:sz w:val="24"/>
          <w:szCs w:val="24"/>
        </w:rPr>
        <w:t xml:space="preserve"> Pair programming para módulos complexos (N5.1, N5.2)</w:t>
      </w:r>
    </w:p>
    <w:p w14:paraId="1279CF8C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Ishikawa-2: Defeitos Críticos em UAT</w:t>
      </w:r>
    </w:p>
    <w:p w14:paraId="30B2C91B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[FIG-4 — Ishikawa: Defeitos Críticos em UAT]</w:t>
      </w:r>
      <w:r>
        <w:rPr>
          <w:rFonts w:ascii="Calibri" w:hAnsi="Calibri" w:cs="Calibri"/>
          <w:sz w:val="24"/>
          <w:szCs w:val="24"/>
        </w:rPr>
        <w:t>SVG gerado — Diagrama espinha-de-peixe tradicional 6M</w:t>
      </w:r>
    </w:p>
    <w:p w14:paraId="4DB5A460">
      <w:pPr>
        <w:spacing w:lineRule="auto"/>
      </w:pPr>
      <w:r>
        <w:drawing>
          <wp:inline distT="0" distB="0" distL="0" distR="0">
            <wp:extent cx="5486400" cy="2676525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12FE">
      <w:pPr>
        <w:spacing w:lineRule="auto"/>
      </w:pPr>
      <w:r>
        <w:rPr>
          <w:rFonts w:ascii="Calibri" w:hAnsi="Calibri" w:cs="Calibri"/>
          <w:sz w:val="24"/>
          <w:szCs w:val="24"/>
        </w:rPr>
        <w:t>Conteúdo: Diagrama 6M focado em defeitos de UAT, destacando causas relacionadas a SDD-IA e validação acadêmica. Necessidade real: Evidencia para o Prof. Dr. Nivaldo Carleto que a equipe compreende as limitações do ambiente acadêmico (usuários-piloto limitados) e propõe mitigações (UAT estruturado).</w:t>
      </w:r>
    </w:p>
    <w:p w14:paraId="3CC0A125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Ações corretivas derivadas:</w:t>
      </w:r>
    </w:p>
    <w:p w14:paraId="106B991A">
      <w:pPr>
        <w:numPr>
          <w:ilvl w:val="0"/>
          <w:numId w:val="5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Método:</w:t>
      </w:r>
      <w:r>
        <w:rPr>
          <w:rFonts w:ascii="Calibri" w:hAnsi="Calibri" w:cs="Calibri"/>
          <w:sz w:val="24"/>
          <w:szCs w:val="24"/>
        </w:rPr>
        <w:t xml:space="preserve"> Roteiro de UAT com cenários Given/When/Then para REQ-01 a REQ-07</w:t>
      </w:r>
    </w:p>
    <w:p w14:paraId="51EA4FFA">
      <w:pPr>
        <w:numPr>
          <w:ilvl w:val="0"/>
          <w:numId w:val="5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Mão de Obra:</w:t>
      </w:r>
      <w:r>
        <w:rPr>
          <w:rFonts w:ascii="Calibri" w:hAnsi="Calibri" w:cs="Calibri"/>
          <w:sz w:val="24"/>
          <w:szCs w:val="24"/>
        </w:rPr>
        <w:t xml:space="preserve"> Code review cruzado (Fabricio revisa Edson, Edson revisa Leonardo)</w:t>
      </w:r>
    </w:p>
    <w:p w14:paraId="15A927A7">
      <w:pPr>
        <w:numPr>
          <w:ilvl w:val="0"/>
          <w:numId w:val="5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Medida:</w:t>
      </w:r>
      <w:r>
        <w:rPr>
          <w:rFonts w:ascii="Calibri" w:hAnsi="Calibri" w:cs="Calibri"/>
          <w:sz w:val="24"/>
          <w:szCs w:val="24"/>
        </w:rPr>
        <w:t xml:space="preserve"> Label bug-critical no GitHub com template de reporte padronizado</w:t>
      </w:r>
    </w:p>
    <w:p w14:paraId="31593DE3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Ishikawa-3: Desvio de Cycle Time &gt; 3 dias</w:t>
      </w:r>
    </w:p>
    <w:p w14:paraId="6BB1DF1F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[FIG-5 — Ishikawa: Cycle Time Excedido]</w:t>
      </w:r>
      <w:r>
        <w:rPr>
          <w:rFonts w:ascii="Calibri" w:hAnsi="Calibri" w:cs="Calibri"/>
          <w:sz w:val="24"/>
          <w:szCs w:val="24"/>
        </w:rPr>
        <w:t>SVG gerado — Diagrama espinha-de-peixe tradicional 6M</w:t>
      </w:r>
    </w:p>
    <w:p w14:paraId="543D70AB">
      <w:pPr>
        <w:spacing w:lineRule="auto"/>
      </w:pPr>
      <w:r>
        <w:drawing>
          <wp:inline distT="0" distB="0" distL="0" distR="0">
            <wp:extent cx="5486400" cy="2676525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17E6">
      <w:pPr>
        <w:spacing w:lineRule="auto"/>
      </w:pPr>
      <w:r>
        <w:rPr>
          <w:rFonts w:ascii="Calibri" w:hAnsi="Calibri" w:cs="Calibri"/>
          <w:sz w:val="24"/>
          <w:szCs w:val="24"/>
        </w:rPr>
        <w:t>Conteúdo: Diagrama 6M focado em gargalos de fluxo, conectando causas a ADR-002 (Kanban) e ADR-004 (tasklists). Necessidade real: Demonstra ao avaliador que a equipe entende que "Cycle Time &gt; 3 dias" não é falha individual, mas sistêmica, exigindo ações em múltiplas dimensões.</w:t>
      </w:r>
    </w:p>
    <w:p w14:paraId="2639153C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Ações corretivas derivadas:</w:t>
      </w:r>
    </w:p>
    <w:p w14:paraId="3170B1CE">
      <w:pPr>
        <w:numPr>
          <w:ilvl w:val="0"/>
          <w:numId w:val="6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Método:</w:t>
      </w:r>
      <w:r>
        <w:rPr>
          <w:rFonts w:ascii="Calibri" w:hAnsi="Calibri" w:cs="Calibri"/>
          <w:sz w:val="24"/>
          <w:szCs w:val="24"/>
        </w:rPr>
        <w:t xml:space="preserve"> DoR gate rigoroso (Escopo §2.6) — card sem DoR não entra em Ready</w:t>
      </w:r>
    </w:p>
    <w:p w14:paraId="5E891CA6">
      <w:pPr>
        <w:numPr>
          <w:ilvl w:val="0"/>
          <w:numId w:val="6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Mão de Obra:</w:t>
      </w:r>
      <w:r>
        <w:rPr>
          <w:rFonts w:ascii="Calibri" w:hAnsi="Calibri" w:cs="Calibri"/>
          <w:sz w:val="24"/>
          <w:szCs w:val="24"/>
        </w:rPr>
        <w:t xml:space="preserve"> Cross-training para reduzir dependência de membro único</w:t>
      </w:r>
    </w:p>
    <w:p w14:paraId="27ABBB05">
      <w:pPr>
        <w:numPr>
          <w:ilvl w:val="0"/>
          <w:numId w:val="6"/>
        </w:numPr>
        <w:spacing w:lineRule="auto"/>
        <w:ind w:left="720" w:hanging="360"/>
      </w:pPr>
      <w:r>
        <w:rPr>
          <w:rFonts w:ascii="Calibri" w:hAnsi="Calibri" w:cs="Calibri"/>
          <w:b/>
          <w:bCs/>
          <w:sz w:val="24"/>
          <w:szCs w:val="24"/>
        </w:rPr>
        <w:t>Medida:</w:t>
      </w:r>
      <w:r>
        <w:rPr>
          <w:rFonts w:ascii="Calibri" w:hAnsi="Calibri" w:cs="Calibri"/>
          <w:sz w:val="24"/>
          <w:szCs w:val="24"/>
        </w:rPr>
        <w:t xml:space="preserve"> Publicação semanal de CFD (Integração §1.6.1) + ação corretiva se banda &gt; 2× média</w:t>
      </w:r>
    </w:p>
    <w:p w14:paraId="3F7A9373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5.8 GESTÃO DE MELHORIA CONTÍNUA</w:t>
      </w:r>
    </w:p>
    <w:p w14:paraId="461C57A4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5.8.1 Retrospectivas Quinzenais</w:t>
      </w:r>
    </w:p>
    <w:p w14:paraId="5042F853">
      <w:pPr>
        <w:spacing w:lineRule="auto"/>
      </w:pPr>
      <w:r>
        <w:rPr>
          <w:rFonts w:ascii="Calibri" w:hAnsi="Calibri" w:cs="Calibri"/>
          <w:sz w:val="24"/>
          <w:szCs w:val="24"/>
        </w:rPr>
        <w:t>Conforme ADR-002, retrospectivas ocorrem a cada 2 semanas com pauta fixa:</w:t>
      </w:r>
    </w:p>
    <w:p w14:paraId="7771B7E1">
      <w:pPr>
        <w:numPr>
          <w:ilvl w:val="0"/>
          <w:numId w:val="7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O que funcionou bem?</w:t>
      </w:r>
    </w:p>
    <w:p w14:paraId="2CDD5314">
      <w:pPr>
        <w:numPr>
          <w:ilvl w:val="0"/>
          <w:numId w:val="7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O que pode melhorar?</w:t>
      </w:r>
    </w:p>
    <w:p w14:paraId="4162FC27">
      <w:pPr>
        <w:numPr>
          <w:ilvl w:val="0"/>
          <w:numId w:val="7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Ações para o próximo ciclo (máximo 3)</w:t>
      </w:r>
    </w:p>
    <w:p w14:paraId="4EBB6A72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Registro:</w:t>
      </w:r>
      <w:r>
        <w:rPr>
          <w:rFonts w:ascii="Calibri" w:hAnsi="Calibri" w:cs="Calibri"/>
          <w:sz w:val="24"/>
          <w:szCs w:val="24"/>
        </w:rPr>
        <w:t xml:space="preserve"> /docs/conhecimento/licoes-aprendidas/ (MF1, MF2, MF3)</w:t>
      </w:r>
    </w:p>
    <w:p w14:paraId="067150C6">
      <w:pPr>
        <w:pStyle w:val="Heading3"/>
        <w:spacing w:lineRule="auto"/>
      </w:pPr>
      <w:r>
        <w:rPr>
          <w:rFonts w:ascii="Calibri" w:hAnsi="Calibri" w:cs="Calibri"/>
          <w:b/>
          <w:bCs/>
          <w:sz w:val="28"/>
          <w:szCs w:val="28"/>
        </w:rPr>
        <w:t>5.8.2 Integração com Métricas de Fluxo</w:t>
      </w:r>
    </w:p>
    <w:p w14:paraId="7E4F664B">
      <w:pPr>
        <w:spacing w:lineRule="auto"/>
      </w:pPr>
      <w:r>
        <w:rPr>
          <w:rFonts w:ascii="Calibri" w:hAnsi="Calibri" w:cs="Calibri"/>
          <w:sz w:val="24"/>
          <w:szCs w:val="24"/>
        </w:rPr>
        <w:t>Conforme Cronograma §3.7 e Integração §1.6.1, o CFD e Cycle Time alimentam a melhoria de processo:</w:t>
      </w:r>
    </w:p>
    <w:p w14:paraId="610AC72C">
      <w:pPr>
        <w:numPr>
          <w:ilvl w:val="0"/>
          <w:numId w:val="8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CFD com banda &gt; 2× média por 2 semanas → Retrospectiva extraordinária</w:t>
      </w:r>
    </w:p>
    <w:p w14:paraId="5CBC108B">
      <w:pPr>
        <w:numPr>
          <w:ilvl w:val="0"/>
          <w:numId w:val="8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Throughput &lt; 3 cards/semana por 2 semanas → Revisão de WIP limits (fallback ADR-002)</w:t>
      </w:r>
    </w:p>
    <w:p w14:paraId="316A2D6B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Fronteira com Cronograma (I4):</w:t>
      </w:r>
      <w:r>
        <w:rPr>
          <w:rFonts w:ascii="Calibri" w:hAnsi="Calibri" w:cs="Calibri"/>
          <w:sz w:val="24"/>
          <w:szCs w:val="24"/>
        </w:rPr>
        <w:t xml:space="preserve"> Este plano usa métricas de fluxo como input para melhoria de qualidade de processo, não como métrica de qualidade de produto (que são coverage, defeitos, etc.). A definição formal, cadência e regra corretiva do CFD residem canonicamente em Integração §1.6.1; o monitoramento temporal detalhado reside em Cronograma §3.7.</w:t>
      </w:r>
    </w:p>
    <w:p w14:paraId="53782FC6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5.9 NOTAS DE CONTEXTO E REGISTRO DE SANEAMENTO DOS ARTEFATOS VIVOS</w:t>
      </w:r>
    </w:p>
    <w:p w14:paraId="0CAF6827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NC-Q1 — Regime de Freeze do TAP (Diretriz D3):</w:t>
      </w:r>
      <w:r>
        <w:rPr>
          <w:rFonts w:ascii="Calibri" w:hAnsi="Calibri" w:cs="Calibri"/>
          <w:sz w:val="24"/>
          <w:szCs w:val="24"/>
        </w:rPr>
        <w:t xml:space="preserve"> O TAP é referência autorizativa congelada (última versão: 18/09/2026, anterior a todos os planos). Divergências textuais entre este plano e o TAP são leituras operacionais, não correções do termo autorizativo. Fontes: TAP Controle de Versões; Premissa P9; Glossário §11; PMBOK 6ª §4.1.</w:t>
      </w:r>
    </w:p>
    <w:p w14:paraId="1BF5F93C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NC-Q2 — Numeração de Processos no Glossário:</w:t>
      </w:r>
      <w:r>
        <w:rPr>
          <w:rFonts w:ascii="Calibri" w:hAnsi="Calibri" w:cs="Calibri"/>
          <w:sz w:val="24"/>
          <w:szCs w:val="24"/>
        </w:rPr>
        <w:t xml:space="preserve"> O Glossário registra incorretamente "Processo 6.4 Estimar Custos" na seção de Cronograma. A numeração canônica é: Área 7 (Custos), Processo 7.2 (Estimar Custos). Esta inconsistência é registrada para saneamento na próxima revisão do Glossário (pós-M1). Similarmente, processos de qualidade (8.1-8.3) devem ser verificados no Glossário §3.</w:t>
      </w:r>
    </w:p>
    <w:p w14:paraId="69AAFFAA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NC-Q3 — Cycle Time e Definição Operacional:</w:t>
      </w:r>
      <w:r>
        <w:rPr>
          <w:rFonts w:ascii="Calibri" w:hAnsi="Calibri" w:cs="Calibri"/>
          <w:sz w:val="24"/>
          <w:szCs w:val="24"/>
        </w:rPr>
        <w:t xml:space="preserve"> A definição operacional de Cycle Time aqui vigente é In Progress → Done (ADR-003), prevalecendo sobre redações divergentes em artefatos de origem (ex: Glossário que possa citar "To Do → Done"). O saneamento aplica-se apenas aos artefatos vivos (ADR-003, Glossário, baseline).</w:t>
      </w:r>
    </w:p>
    <w:p w14:paraId="0E1DC280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NC-Q4 — EAP: 12 Fases, não 13:</w:t>
      </w:r>
      <w:r>
        <w:rPr>
          <w:rFonts w:ascii="Calibri" w:hAnsi="Calibri" w:cs="Calibri"/>
          <w:sz w:val="24"/>
          <w:szCs w:val="24"/>
        </w:rPr>
        <w:t xml:space="preserve"> Este plano consolida 12 ciclos PDCA (N1-N12), conforme baseline do TAP §4 (12 fases + 37 pacotes). O Glossário v3.1 pode registrar "13 fases + 48 pacotes" — esta contagem é volátil e não canônica. O TAP e Planos de Integração/Escopo são as fontes canônicas. O TAP não integra ciclos PDCA (Premissa P9).</w:t>
      </w:r>
    </w:p>
    <w:p w14:paraId="23AACA97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NC-Q5 — Grafia do Stakeholder (E1):</w:t>
      </w:r>
      <w:r>
        <w:rPr>
          <w:rFonts w:ascii="Calibri" w:hAnsi="Calibri" w:cs="Calibri"/>
          <w:sz w:val="24"/>
          <w:szCs w:val="24"/>
        </w:rPr>
        <w:t xml:space="preserve"> A seção 5 utiliza a grafia "Prof. Dr. Nivaldo Carleto" conforme TAP v3. O Glossário v3.1 registra "Carletto" (grafia incorreta). Esta inconsistência é registrada para saneamento na próxima revisão do Glossário (pós-M1).</w:t>
      </w:r>
    </w:p>
    <w:p w14:paraId="14A0A051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Registro de saneamento — artefatos vivos (não bloqueante):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18A8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Pendência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6F89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Artefato vivo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FFFA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Momento previsto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257D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Numeração de processos 8.1-8.3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0D86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Glossário §3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9D8E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Próxima revisão do Glossário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1822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Contagem EAP "13/48" → 12/37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146B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Glossário §1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6078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Próxima revisão do Glossário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398D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Cycle Time "To Do → Done" → "In Progress → Done"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F9B4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Glossário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2DC9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Próxima revisão do Glossário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9D4E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Grafia "Carletto" → "Carleto"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42A2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Glossário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5750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Próxima revisão do Glossário</w:t>
            </w:r>
          </w:p>
        </w:tc>
      </w:tr>
    </w:tbl>
    <w:p w14:paraId="067F5C59">
      <w:pPr>
        <w:spacing w:lineRule="auto"/>
      </w:pPr>
      <w:r/>
    </w:p>
    <w:p w14:paraId="4CAEA38D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5.10 DECLARAÇÃO DE RASTREABILIDADE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B5C9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Seção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56A8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Origem no TAP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B977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Domínio PMBOK 7ª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B9AD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Processo PMBOK 6ª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55A4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5.1 (Propósito; freeze)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6FE6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§3.2 (Qualidade) + Premissa P9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19DC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Medição + Entrega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5F454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8.1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3911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5.2 (Abordagem 3 dimensões)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9D14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 (Qualidade) + §8.5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18C17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Entrega + Melhoria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D897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8.2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65DD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5.3 (Métricas)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E6C5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 (Métricas) + ADR-003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5A0EA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Medição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866F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8.3 (substituição)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C401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5.4 (Critérios técnicos)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5B67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§3.2.b + §3.2.c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6BB5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Entrega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EC6C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8.3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F5C0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5.5 (Ferramentas: CI)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CA8C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 (Inovação) + N7.1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AD75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Trabalho do Projeto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0F49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8.2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58E57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5.6 (12 PDCAs)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A487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§3.2.c + REQ-10 + N6.3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14D2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Melhoria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29B65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8.2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88F05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5.7 (Ishikawa 6M)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483A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REQ-10 + N6.3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C392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Melhoria + Incerteza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FAD3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8.3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6C80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5.8 (Melhoria contínua)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88BA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ADR-002 + Integração §1.6.1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71F7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Melhoria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FF2A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8.2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3F87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5.9 (Notas de Contexto)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6EA8E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Decisão do GP (21/09/2026) + Premissa P9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94F90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Trabalho do Projeto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112D1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4.6 (dicionário)</w:t>
            </w:r>
          </w:p>
        </w:tc>
      </w:tr>
    </w:tbl>
    <w:p w14:paraId="5EA59393">
      <w:pPr>
        <w:spacing w:lineRule="auto"/>
      </w:pPr>
      <w:r/>
    </w:p>
    <w:p w14:paraId="348F127B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Verificação:</w:t>
      </w:r>
      <w:r>
        <w:rPr>
          <w:rFonts w:ascii="Calibri" w:hAnsi="Calibri" w:cs="Calibri"/>
          <w:sz w:val="24"/>
          <w:szCs w:val="24"/>
        </w:rPr>
        <w:t xml:space="preserve"> 100% das seções possuem rastreabilidade a ao menos um objetivo SMART, premissa, restrição do TAP ou REQ-08/09/10; referências cruzadas apontam exclusivamente para locais canônicos (Escopo §2.6 para DoR/DoD; Custos §4.5 para auditoria FOSS; Integração §1.6.1 para CFD).</w:t>
      </w:r>
    </w:p>
    <w:p w14:paraId="56324400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5.11 PREMISSAS E RESTRIÇÕES APLICÁVEIS</w:t>
      </w:r>
    </w:p>
    <w:p w14:paraId="22E8E0FC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Premissas do TAP:</w:t>
      </w:r>
    </w:p>
    <w:p w14:paraId="07319B12">
      <w:pPr>
        <w:numPr>
          <w:ilvl w:val="0"/>
          <w:numId w:val="9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P1 (governança híbrida): fundamenta §5.2</w:t>
      </w:r>
    </w:p>
    <w:p w14:paraId="51DA5AF3">
      <w:pPr>
        <w:numPr>
          <w:ilvl w:val="0"/>
          <w:numId w:val="9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P3 (SDD com IA auditável): fundamenta §5.4.1 (código SDD)</w:t>
      </w:r>
    </w:p>
    <w:p w14:paraId="254208F1">
      <w:pPr>
        <w:numPr>
          <w:ilvl w:val="0"/>
          <w:numId w:val="9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P4 (código como deliverable): fundamenta §5.4 (critérios técnicos)</w:t>
      </w:r>
    </w:p>
    <w:p w14:paraId="03F33B60">
      <w:pPr>
        <w:numPr>
          <w:ilvl w:val="0"/>
          <w:numId w:val="9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P5 (20h/semana): fundamenta §5.7 (Ishikawa-3: sobrecarga)</w:t>
      </w:r>
    </w:p>
    <w:p w14:paraId="5E4956FF">
      <w:pPr>
        <w:numPr>
          <w:ilvl w:val="0"/>
          <w:numId w:val="9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P9 (separação ontológica TAP ≠ EAP ≠ PDCA): fundamenta §5.6 (12 PDCAs sem TAP) e §5.9 (freeze)</w:t>
      </w:r>
    </w:p>
    <w:p w14:paraId="37440FBD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Premissas específicas deste plano:</w:t>
      </w:r>
    </w:p>
    <w:p w14:paraId="04EE8F67">
      <w:pPr>
        <w:numPr>
          <w:ilvl w:val="0"/>
          <w:numId w:val="10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PA-Q1: GitHub Actions Free Tier permanece disponível e estável durante todo o ciclo (TAP §11)</w:t>
      </w:r>
    </w:p>
    <w:p w14:paraId="4022BE22">
      <w:pPr>
        <w:numPr>
          <w:ilvl w:val="0"/>
          <w:numId w:val="10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PA-Q2: pytest + coverage.py são suficientes para atingir ≥ 80% de cobertura sem ferramentas pagas</w:t>
      </w:r>
    </w:p>
    <w:p w14:paraId="3E6D19F9">
      <w:pPr>
        <w:numPr>
          <w:ilvl w:val="0"/>
          <w:numId w:val="10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PA-Q3: Usuários-piloto (3-5 pessoas) são representativos o suficiente para UAT acadêmico (TAP §8.5)</w:t>
      </w:r>
    </w:p>
    <w:p w14:paraId="739C7A2D">
      <w:pPr>
        <w:numPr>
          <w:ilvl w:val="0"/>
          <w:numId w:val="10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PA-Q4: SonarQube Free Tier permanece disponível para análise de dívida técnica (TAP §11)</w:t>
      </w:r>
    </w:p>
    <w:p w14:paraId="6BAD6BE4">
      <w:pPr>
        <w:spacing w:lineRule="auto"/>
      </w:pPr>
      <w:r>
        <w:rPr>
          <w:rFonts w:ascii="Calibri" w:hAnsi="Calibri" w:cs="Calibri"/>
          <w:b/>
          <w:bCs/>
          <w:sz w:val="24"/>
          <w:szCs w:val="24"/>
        </w:rPr>
        <w:t>Restrições:</w:t>
      </w:r>
    </w:p>
    <w:p w14:paraId="3CA25688">
      <w:pPr>
        <w:numPr>
          <w:ilvl w:val="0"/>
          <w:numId w:val="1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TAP §8.5 (Qualidade): Tempo restrito para testes → priorização de fluxos críticos (REQ-01 a REQ-07)</w:t>
      </w:r>
    </w:p>
    <w:p w14:paraId="2E6386C6">
      <w:pPr>
        <w:numPr>
          <w:ilvl w:val="0"/>
          <w:numId w:val="1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TAP §8.2 (Cronograma): Prazo letivo inegociável → PDCAs enxutos (6 linhas cada, GMV)</w:t>
      </w:r>
    </w:p>
    <w:p w14:paraId="2F13F44E">
      <w:pPr>
        <w:numPr>
          <w:ilvl w:val="0"/>
          <w:numId w:val="11"/>
        </w:numPr>
        <w:spacing w:lineRule="auto"/>
        <w:ind w:left="720" w:hanging="360"/>
      </w:pPr>
      <w:r>
        <w:rPr>
          <w:rFonts w:ascii="Calibri" w:hAnsi="Calibri" w:cs="Calibri"/>
          <w:sz w:val="24"/>
          <w:szCs w:val="24"/>
        </w:rPr>
        <w:t>TAP §11 (Orçamento zero): Proibição de ferramentas pagas de qualidade (ex: SonarCloud pago)</w:t>
      </w:r>
    </w:p>
    <w:p w14:paraId="5624D299">
      <w:pPr>
        <w:pStyle w:val="Heading2"/>
        <w:spacing w:lineRule="auto"/>
      </w:pPr>
      <w:r>
        <w:rPr>
          <w:rFonts w:ascii="Calibri" w:hAnsi="Calibri" w:cs="Calibri"/>
          <w:b/>
          <w:bCs/>
          <w:sz w:val="36"/>
          <w:szCs w:val="36"/>
        </w:rPr>
        <w:t>CONTROLE DE VERSÕES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60"/>
        <w:gridCol w:w="2160"/>
        <w:gridCol w:w="2160"/>
        <w:gridCol w:w="2160"/>
      </w:tblGrid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368C3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Versão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A30D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Data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7352B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Alteração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B6378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Responsável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E22BF1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1.0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02A09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21/09/2026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40A2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Emissão inicial: 12 PDCAs consolidados (N1-N12); 3 diagramas Ishikawa 6M; métricas de qualidade; FIG-1, FIG-3, FIG-4, FIG-5; exclusão de FIG-2 (GMV); NC-Q1 a NC-Q4 (freeze do TAP); delimitação de fronteiras com Custos §4.5 e Cronograma §3.7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71C8C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D. S. Setti</w:t>
            </w:r>
          </w:p>
        </w:tc>
      </w:tr>
      <w:tr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72B26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1.1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A19B2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21/09/2026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18E5D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Refinamento pós-review: (I1) PDCA-N10 com referência a Escopo §2.7 e Integração §1.9; (I2) PDCA-N7 com referência a REQ-11; (I3) nota sobre qualidade de processo vs. produto na introdução §5.7; (I4) referência canônica em §5.8.2; (I5) especificação "SonarQube Free Tier" em §5.3; (I6) nota sobre mypy como ferramenta complementar em §5.4.1; (E1) NC-Q5 sobre grafia do stakeholder; 4 SVGs gerados (FIG-1, FIG-3, FIG-4, FIG-5)</w:t>
            </w:r>
          </w:p>
        </w:tc>
        <w:tc>
          <w:tcPr>
            <w:tcW w:w="2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72163F">
            <w:pPr>
              <w:spacing w:lineRule="auto"/>
            </w:pPr>
            <w:r>
              <w:rPr>
                <w:rFonts w:ascii="Calibri" w:hAnsi="Calibri" w:cs="Calibri"/>
                <w:sz w:val="24"/>
                <w:szCs w:val="24"/>
              </w:rPr>
              <w:t>Leonardo D. S. Setti</w:t>
            </w:r>
          </w:p>
        </w:tc>
      </w:tr>
    </w:tbl>
    <w:p w14:paraId="1B12202B">
      <w:pPr>
        <w:spacing w:lineRule="auto"/>
      </w:pPr>
      <w:r/>
    </w:p>
    <w:sectPr>
      <w:pgSz w:w="12240" w:h="15840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PClNp8aS0ktH-FP-q5qEs.png" TargetMode="Internal"/>
  <Relationship Id="rId6" Type="http://schemas.openxmlformats.org/officeDocument/2006/relationships/image" Target="media/image-iOlrBg-y_1SoDlVBTgarX.png" TargetMode="Internal"/>
  <Relationship Id="rId7" Type="http://schemas.openxmlformats.org/officeDocument/2006/relationships/image" Target="media/image-KR6aS4liaX2yA3g7Fvv50.png" TargetMode="Internal"/>
  <Relationship Id="rId8" Type="http://schemas.openxmlformats.org/officeDocument/2006/relationships/image" Target="media/image-KyiXWlLf2g4XicLDeabSV.png" TargetMode="Internal"/>
  <Relationship Id="rId9" Type="http://schemas.openxmlformats.org/officeDocument/2006/relationships/theme" Target="theme/theme1.xml" TargetMode="Internal"/>
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2026-09-19T21:52:58.458Z</dcterms:created>
  <dcterms:modified xsi:type="dcterms:W3CDTF">2026-09-21T01:19:26.089Z</dcterms:modified>
</cp:coreProperties>
</file>