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alibri" w:hAnsi="Calibri" w:cs="Calibri"/>
          <w:sz w:val="20"/>
          <w:szCs w:val="20"/>
        </w:rPr>
      </w:pPr>
      <w:bookmarkStart w:id="0" w:name="_GoBack"/>
      <w:r>
        <w:rPr>
          <w:rFonts w:hint="default" w:ascii="Calibri" w:hAnsi="Calibri" w:cs="Calibri"/>
          <w:sz w:val="20"/>
          <w:szCs w:val="20"/>
        </w:rPr>
        <w:t>O presente Termo de Abertura do Projeto (TAP) tem como objetivos fundamentais:</w:t>
      </w: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a)</w:t>
      </w:r>
      <w:r>
        <w:rPr>
          <w:rFonts w:hint="default" w:ascii="Calibri" w:hAnsi="Calibri" w:cs="Calibri"/>
          <w:sz w:val="20"/>
          <w:szCs w:val="20"/>
        </w:rPr>
        <w:t xml:space="preserve"> Autorizar formalmente o projeto "Conversor de Ganhos em Moeda Estrangeira" (COGME), conferindo-lhe existência oficial perante a instituição de ensino (</w:t>
      </w:r>
      <w:r>
        <w:rPr>
          <w:rFonts w:hint="default" w:ascii="Calibri" w:hAnsi="Calibri" w:cs="Calibri"/>
          <w:b/>
          <w:sz w:val="20"/>
          <w:szCs w:val="20"/>
        </w:rPr>
        <w:t>Fatec Taquaritinga</w:t>
      </w:r>
      <w:r>
        <w:rPr>
          <w:rFonts w:hint="default" w:ascii="Calibri" w:hAnsi="Calibri" w:cs="Calibri"/>
          <w:sz w:val="20"/>
          <w:szCs w:val="20"/>
        </w:rPr>
        <w:t xml:space="preserve">) e perante o professor orientador da disciplina de Gerência de Projetos do Curso Superior de Tecnologia em Análise e Desenvolvimento de Sistemas, </w:t>
      </w:r>
      <w:r>
        <w:rPr>
          <w:rFonts w:hint="default" w:ascii="Calibri" w:hAnsi="Calibri" w:cs="Calibri"/>
          <w:b/>
          <w:sz w:val="20"/>
          <w:szCs w:val="20"/>
        </w:rPr>
        <w:t>Prof. Dr. Nivaldo Carleto</w:t>
      </w:r>
      <w:r>
        <w:rPr>
          <w:rFonts w:hint="default" w:ascii="Calibri" w:hAnsi="Calibri" w:cs="Calibri"/>
          <w:sz w:val="20"/>
          <w:szCs w:val="20"/>
        </w:rPr>
        <w:t>.</w:t>
      </w: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b)</w:t>
      </w:r>
      <w:r>
        <w:rPr>
          <w:rFonts w:hint="default" w:ascii="Calibri" w:hAnsi="Calibri" w:cs="Calibri"/>
          <w:sz w:val="20"/>
          <w:szCs w:val="20"/>
        </w:rPr>
        <w:t xml:space="preserve"> Conceder autoridade formal ao aluno </w:t>
      </w:r>
      <w:r>
        <w:rPr>
          <w:rFonts w:hint="default" w:ascii="Calibri" w:hAnsi="Calibri" w:cs="Calibri"/>
          <w:b/>
          <w:sz w:val="20"/>
          <w:szCs w:val="20"/>
        </w:rPr>
        <w:t>Leonardo David Silva Setti</w:t>
      </w:r>
      <w:r>
        <w:rPr>
          <w:rFonts w:hint="default" w:ascii="Calibri" w:hAnsi="Calibri" w:cs="Calibri"/>
          <w:sz w:val="20"/>
          <w:szCs w:val="20"/>
        </w:rPr>
        <w:t>, no papel de gerente do projeto, para aplicar os recursos organizacionais, planejar as atividades, tomar decisões e mobilizar os recursos necessários à execução do projeto, em conjunto com os demais membros da equipe (Fabricio de Lima Cabral e Edson Luis Silva).</w:t>
      </w: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c)</w:t>
      </w:r>
      <w:r>
        <w:rPr>
          <w:rFonts w:hint="default" w:ascii="Calibri" w:hAnsi="Calibri" w:cs="Calibri"/>
          <w:sz w:val="20"/>
          <w:szCs w:val="20"/>
        </w:rPr>
        <w:t xml:space="preserve"> Estabelecer o vínculo entre o projeto e os objetivos estratégicos da disciplina, demonstrando que o desenvolvimento deste sistema atende aos requisitos acadêmicos de aplicação prática dos conceitos de gerenciamento de projetos conforme o </w:t>
      </w:r>
      <w:r>
        <w:rPr>
          <w:rFonts w:hint="default" w:ascii="Calibri" w:hAnsi="Calibri" w:cs="Calibri"/>
          <w:b/>
          <w:sz w:val="20"/>
          <w:szCs w:val="20"/>
        </w:rPr>
        <w:t>Guia PMBOK® 7ª edição</w:t>
      </w:r>
      <w:r>
        <w:rPr>
          <w:rFonts w:hint="default" w:ascii="Calibri" w:hAnsi="Calibri" w:cs="Calibri"/>
          <w:sz w:val="20"/>
          <w:szCs w:val="20"/>
        </w:rPr>
        <w:t xml:space="preserve"> (governança primária, baseada em princípios e domínios de desempenho), com o </w:t>
      </w:r>
      <w:r>
        <w:rPr>
          <w:rFonts w:hint="default" w:ascii="Calibri" w:hAnsi="Calibri" w:cs="Calibri"/>
          <w:b/>
          <w:sz w:val="20"/>
          <w:szCs w:val="20"/>
        </w:rPr>
        <w:t>Guia PMBOK® 6ª edição</w:t>
      </w:r>
      <w:r>
        <w:rPr>
          <w:rFonts w:hint="default" w:ascii="Calibri" w:hAnsi="Calibri" w:cs="Calibri"/>
          <w:sz w:val="20"/>
          <w:szCs w:val="20"/>
        </w:rPr>
        <w:t xml:space="preserve"> atuando como dicionário complementar de processos quando necessário, e a </w:t>
      </w:r>
      <w:r>
        <w:rPr>
          <w:rFonts w:hint="default" w:ascii="Calibri" w:hAnsi="Calibri" w:cs="Calibri"/>
          <w:b/>
          <w:sz w:val="20"/>
          <w:szCs w:val="20"/>
        </w:rPr>
        <w:t>metodologia ágil Kanban</w:t>
      </w:r>
      <w:r>
        <w:rPr>
          <w:rFonts w:hint="default" w:ascii="Calibri" w:hAnsi="Calibri" w:cs="Calibri"/>
          <w:sz w:val="20"/>
          <w:szCs w:val="20"/>
        </w:rPr>
        <w:t xml:space="preserve"> como método de execução operacional via GitHub Projects.</w:t>
      </w: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d)</w:t>
      </w:r>
      <w:r>
        <w:rPr>
          <w:rFonts w:hint="default" w:ascii="Calibri" w:hAnsi="Calibri" w:cs="Calibri"/>
          <w:sz w:val="20"/>
          <w:szCs w:val="20"/>
        </w:rPr>
        <w:t xml:space="preserve"> Definir os limites preliminares do projeto, incluindo escopo de alto nível, premissas, restrições, riscos iniciais, cronograma de marcos e orçamento preliminar, servindo como base para o planejamento detalhado das áreas de conhecimento.</w:t>
      </w: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e)</w:t>
      </w:r>
      <w:r>
        <w:rPr>
          <w:rFonts w:hint="default" w:ascii="Calibri" w:hAnsi="Calibri" w:cs="Calibri"/>
          <w:sz w:val="20"/>
          <w:szCs w:val="20"/>
        </w:rPr>
        <w:t xml:space="preserve"> Identificar as principais partes interessadas (stakeholders) e seus papéis, alinhando expectativas e estabelecendo canais de comunicação iniciais.</w:t>
      </w: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f)</w:t>
      </w:r>
      <w:r>
        <w:rPr>
          <w:rFonts w:hint="default" w:ascii="Calibri" w:hAnsi="Calibri" w:cs="Calibri"/>
          <w:sz w:val="20"/>
          <w:szCs w:val="20"/>
        </w:rPr>
        <w:t xml:space="preserve"> Servir como documento de referência ao longo de todo o ciclo de vida do projeto, garantindo que todas as decisões e alterações sejam avaliadas à luz dos objetivos e restrições aqui estabelecidos.</w:t>
      </w:r>
    </w:p>
    <w:bookmarkEnd w:id="0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00000000"/>
    <w:rsid w:val="D47D96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leonardo</cp:lastModifiedBy>
  <dcterms:modified xsi:type="dcterms:W3CDTF">2026-09-16T17:20:42Z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