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BA6E5D0">
      <w:pPr>
        <w:pStyle w:val="Heading1"/>
        <w:spacing w:lineRule="auto"/>
      </w:pPr>
      <w:r>
        <w:rPr>
          <w:rFonts w:ascii="Calibri" w:hAnsi="Calibri" w:cs="Calibri"/>
          <w:b/>
          <w:bCs/>
          <w:sz w:val="48"/>
          <w:szCs w:val="48"/>
        </w:rPr>
        <w:t>4: CUSTOS</w:t>
      </w:r>
    </w:p>
    <w:p w14:paraId="727F4A2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Plano de Gerenciamento de Custos</w:t>
      </w:r>
    </w:p>
    <w:p w14:paraId="5614C6A2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Projeto:</w:t>
      </w:r>
      <w:r>
        <w:rPr>
          <w:rFonts w:ascii="Calibri" w:hAnsi="Calibri" w:cs="Calibri"/>
          <w:sz w:val="24"/>
          <w:szCs w:val="24"/>
        </w:rPr>
        <w:t xml:space="preserve"> COGME — Conversor de Ganhos em Moeda Estrangeira </w:t>
      </w:r>
      <w:r>
        <w:rPr>
          <w:rFonts w:ascii="Calibri" w:hAnsi="Calibri" w:cs="Calibri"/>
          <w:b/>
          <w:bCs/>
          <w:sz w:val="24"/>
          <w:szCs w:val="24"/>
        </w:rPr>
        <w:t>Versão:</w:t>
      </w:r>
      <w:r>
        <w:rPr>
          <w:rFonts w:ascii="Calibri" w:hAnsi="Calibri" w:cs="Calibri"/>
          <w:sz w:val="24"/>
          <w:szCs w:val="24"/>
        </w:rPr>
        <w:t xml:space="preserve"> 1.2 </w:t>
      </w:r>
      <w:r>
        <w:rPr>
          <w:rFonts w:ascii="Calibri" w:hAnsi="Calibri" w:cs="Calibri"/>
          <w:b/>
          <w:bCs/>
          <w:sz w:val="24"/>
          <w:szCs w:val="24"/>
        </w:rPr>
        <w:t>Data:</w:t>
      </w:r>
      <w:r>
        <w:rPr>
          <w:rFonts w:ascii="Calibri" w:hAnsi="Calibri" w:cs="Calibri"/>
          <w:sz w:val="24"/>
          <w:szCs w:val="24"/>
        </w:rPr>
        <w:t xml:space="preserve"> 21/09/2026 </w:t>
      </w:r>
      <w:r>
        <w:rPr>
          <w:rFonts w:ascii="Calibri" w:hAnsi="Calibri" w:cs="Calibri"/>
          <w:b/>
          <w:bCs/>
          <w:sz w:val="24"/>
          <w:szCs w:val="24"/>
        </w:rPr>
        <w:t>Autores:</w:t>
      </w:r>
      <w:r>
        <w:rPr>
          <w:rFonts w:ascii="Calibri" w:hAnsi="Calibri" w:cs="Calibri"/>
          <w:sz w:val="24"/>
          <w:szCs w:val="24"/>
        </w:rPr>
        <w:t xml:space="preserve"> Leonardo David Silva Setti (GP), Fabricio de Lima Cabral, Edson Luis Silva </w:t>
      </w:r>
      <w:r>
        <w:rPr>
          <w:rFonts w:ascii="Calibri" w:hAnsi="Calibri" w:cs="Calibri"/>
          <w:b/>
          <w:bCs/>
          <w:sz w:val="24"/>
          <w:szCs w:val="24"/>
        </w:rPr>
        <w:t>Stakeholder-Avaliador:</w:t>
      </w:r>
      <w:r>
        <w:rPr>
          <w:rFonts w:ascii="Calibri" w:hAnsi="Calibri" w:cs="Calibri"/>
          <w:sz w:val="24"/>
          <w:szCs w:val="24"/>
        </w:rPr>
        <w:t xml:space="preserve"> Prof. Dr. Nivaldo Carleto — Fatec Taquaritinga / ADS</w:t>
      </w:r>
    </w:p>
    <w:p w14:paraId="144C22E1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4.1 IDENTIFICAÇÃO E PROPÓSITO</w:t>
      </w:r>
    </w:p>
    <w:p w14:paraId="4529C301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Este Plano de Gerenciamento de Custos estabelece os mecanismos de governança para assegurar que o projeto COGME seja executado dentro da linha de base de custos aprovada: </w:t>
      </w:r>
      <w:r>
        <w:rPr>
          <w:rFonts w:ascii="Calibri" w:hAnsi="Calibri" w:cs="Calibri"/>
          <w:b/>
          <w:bCs/>
          <w:sz w:val="24"/>
          <w:szCs w:val="24"/>
        </w:rPr>
        <w:t>R$ 0,00 (zero reais)</w:t>
      </w:r>
      <w:r>
        <w:rPr>
          <w:rFonts w:ascii="Calibri" w:hAnsi="Calibri" w:cs="Calibri"/>
          <w:sz w:val="24"/>
          <w:szCs w:val="24"/>
        </w:rPr>
        <w:t>.</w:t>
      </w:r>
    </w:p>
    <w:p w14:paraId="6A1BCB88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Fundamentação:</w:t>
      </w:r>
      <w:r>
        <w:rPr>
          <w:rFonts w:ascii="Calibri" w:hAnsi="Calibri" w:cs="Calibri"/>
          <w:sz w:val="24"/>
          <w:szCs w:val="24"/>
        </w:rPr>
        <w:t xml:space="preserve"> Deriva diretamente das Premissas P2 (FOSS absoluto), P6 (hardware adequado) e </w:t>
      </w:r>
      <w:r>
        <w:rPr>
          <w:rFonts w:ascii="Calibri" w:hAnsi="Calibri" w:cs="Calibri"/>
          <w:b/>
          <w:bCs/>
          <w:sz w:val="24"/>
          <w:szCs w:val="24"/>
        </w:rPr>
        <w:t>P9 (separação ontológica TAP ≠ EAP ≠ PDCA)</w:t>
      </w:r>
      <w:r>
        <w:rPr>
          <w:rFonts w:ascii="Calibri" w:hAnsi="Calibri" w:cs="Calibri"/>
          <w:sz w:val="24"/>
          <w:szCs w:val="24"/>
        </w:rPr>
        <w:t>, e das Restrições de Custo do TAP (§8.4 e §11), respeitando os Domínios de Planejamento, Medição e Entrega do PMBOK® 7ª edição.</w:t>
      </w:r>
    </w:p>
    <w:p w14:paraId="39D2B616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Função ontológica:</w:t>
      </w:r>
      <w:r>
        <w:rPr>
          <w:rFonts w:ascii="Calibri" w:hAnsi="Calibri" w:cs="Calibri"/>
          <w:sz w:val="24"/>
          <w:szCs w:val="24"/>
        </w:rPr>
        <w:t xml:space="preserve"> O plano não duplica a auditoria de licenças (EAP N4.4) nem a seleção de stack (EAP N4.1) — estabelece a </w:t>
      </w:r>
      <w:r>
        <w:rPr>
          <w:rFonts w:ascii="Calibri" w:hAnsi="Calibri" w:cs="Calibri"/>
          <w:b/>
          <w:bCs/>
          <w:sz w:val="24"/>
          <w:szCs w:val="24"/>
        </w:rPr>
        <w:t>governança</w:t>
      </w:r>
      <w:r>
        <w:rPr>
          <w:rFonts w:ascii="Calibri" w:hAnsi="Calibri" w:cs="Calibri"/>
          <w:sz w:val="24"/>
          <w:szCs w:val="24"/>
        </w:rPr>
        <w:t xml:space="preserve"> sobre esses artefatos, garantindo que 100% das ferramentas, bibliotecas e serviços permaneçam dentro do perímetro FOSS/Free Tier ao longo de todo o ciclo de vida.</w:t>
      </w:r>
    </w:p>
    <w:p w14:paraId="2A802E3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Domínios PMBOK 7ª:</w:t>
      </w:r>
      <w:r>
        <w:rPr>
          <w:rFonts w:ascii="Calibri" w:hAnsi="Calibri" w:cs="Calibri"/>
          <w:sz w:val="24"/>
          <w:szCs w:val="24"/>
        </w:rPr>
        <w:t xml:space="preserve"> Planejamento (prevenção de desvios de conformidade), Medição (métricas de conformidade como substituição de EVM) e Entrega (garantia de sustentabilidade econômica do produto).</w:t>
      </w:r>
    </w:p>
    <w:p w14:paraId="7B84822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Processo PMBOK 6ª (dicionário, obsolescência assumida conforme Integração §1.2.4):</w:t>
      </w:r>
      <w:r>
        <w:rPr>
          <w:rFonts w:ascii="Calibri" w:hAnsi="Calibri" w:cs="Calibri"/>
          <w:sz w:val="24"/>
          <w:szCs w:val="24"/>
        </w:rPr>
        <w:t xml:space="preserve"> 7.1 Planejar o Gerenciamento de Custos. Os processos 7.2 (Estimar Custos), 7.3 (Determinar Orçamento) e 7.4 (Controlar Custos) são </w:t>
      </w:r>
      <w:r>
        <w:rPr>
          <w:rFonts w:ascii="Calibri" w:hAnsi="Calibri" w:cs="Calibri"/>
          <w:b/>
          <w:bCs/>
          <w:sz w:val="24"/>
          <w:szCs w:val="24"/>
        </w:rPr>
        <w:t>inaplicáveis</w:t>
      </w:r>
      <w:r>
        <w:rPr>
          <w:rFonts w:ascii="Calibri" w:hAnsi="Calibri" w:cs="Calibri"/>
          <w:sz w:val="24"/>
          <w:szCs w:val="24"/>
        </w:rPr>
        <w:t xml:space="preserve"> no sentido tradicional, pois:</w:t>
      </w:r>
    </w:p>
    <w:p w14:paraId="48B2BC10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Estimativa: não há custos a estimar (todos os recursos são gratuitos)</w:t>
      </w:r>
    </w:p>
    <w:p w14:paraId="4C5CDEFE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Orçamento: linha de base = R$ 0,00</w:t>
      </w:r>
    </w:p>
    <w:p w14:paraId="231AC53E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Controle: métricas EVM (CPI, VAC) são matematicamente indeterminadas (AC = 0), conforme ADR-003</w:t>
      </w:r>
    </w:p>
    <w:p w14:paraId="7218404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Trade-off declarado:</w:t>
      </w:r>
      <w:r>
        <w:rPr>
          <w:rFonts w:ascii="Calibri" w:hAnsi="Calibri" w:cs="Calibri"/>
          <w:sz w:val="24"/>
          <w:szCs w:val="24"/>
        </w:rPr>
        <w:t xml:space="preserve"> Abre-se mão da formalidade de estimativa/orçamento em favor de auditoria contínua de conformidade FOSS, alinhado ao Princípio "Foco em Valor" (PMBOK 7ª) e à Restrição TAP §8.4.</w:t>
      </w:r>
    </w:p>
    <w:p w14:paraId="6047031D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4.2 ABORDAGEM DE GERENCIAMENTO DE CUSTOS</w:t>
      </w:r>
    </w:p>
    <w:p w14:paraId="425FDF57">
      <w:pPr>
        <w:spacing w:lineRule="auto"/>
      </w:pPr>
      <w:r>
        <w:rPr>
          <w:rFonts w:ascii="Calibri" w:hAnsi="Calibri" w:cs="Calibri"/>
          <w:sz w:val="24"/>
          <w:szCs w:val="24"/>
        </w:rPr>
        <w:t>O gerenciamento de custos do COGME opera em três camadas de prevenção: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400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Camada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CE80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A9C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Mecanismo de Controle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33B8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Fonte Canônica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874F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Preventiva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12A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Seleção de stack e ferramentas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51FE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ADR-001 + Fase N4.1 (Seleção e Validação da Stack FOSS)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90A4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ADR-001; EAP N4.1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75B9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Normativa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F8A8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Política de licenciamento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56D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Whitelist/blacklist de licenças (§4.5.1)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E1D6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EAP N1.4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0A667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Detectiva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9AE0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Auditoria de licenças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F102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Fase N4.4 (Auditoria de Licenças) + checklist OSI-approved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A2EA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EAP N4.4</w:t>
            </w:r>
          </w:p>
        </w:tc>
      </w:tr>
    </w:tbl>
    <w:p w14:paraId="0703795D">
      <w:pPr>
        <w:spacing w:lineRule="auto"/>
      </w:pPr>
      <w:r/>
    </w:p>
    <w:p w14:paraId="0C49304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Regra de ouro:</w:t>
      </w:r>
      <w:r>
        <w:rPr>
          <w:rFonts w:ascii="Calibri" w:hAnsi="Calibri" w:cs="Calibri"/>
          <w:sz w:val="24"/>
          <w:szCs w:val="24"/>
        </w:rPr>
        <w:t xml:space="preserve"> Nenhuma ferramenta, biblioteca, API ou serviço pode ser incorporado ao projeto sem:</w:t>
      </w:r>
    </w:p>
    <w:p w14:paraId="7B5A03F3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Verificação de licença OSI-approved (whitelist §4.5.1)</w:t>
      </w:r>
    </w:p>
    <w:p w14:paraId="1266F8C6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Confirmação de plano gratuito suficiente para o MVP acadêmico</w:t>
      </w:r>
    </w:p>
    <w:p w14:paraId="17559A00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Registro na ADR-001 ou em ADR específica (se mudança de stack)</w:t>
      </w:r>
    </w:p>
    <w:p w14:paraId="023361E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Hierarquia de resolução de conflitos (aplicada a custos):</w:t>
      </w:r>
    </w:p>
    <w:p w14:paraId="0B2BE1C0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Conformidade FOSS (restrição TAP §8.4)</w:t>
      </w:r>
    </w:p>
    <w:p w14:paraId="3039A3CD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Funcionalidade do MVP (TAP §3 — Produto)</w:t>
      </w:r>
    </w:p>
    <w:p w14:paraId="19310DD8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Conveniência técnica (preferência do desenvolvedor)</w:t>
      </w:r>
    </w:p>
    <w:p w14:paraId="538B5E56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[FIG-1 — Fluxo de Prevenção de Custos]</w:t>
      </w:r>
      <w:r>
        <w:rPr>
          <w:rFonts w:ascii="Calibri" w:hAnsi="Calibri" w:cs="Calibri"/>
          <w:sz w:val="24"/>
          <w:szCs w:val="24"/>
        </w:rPr>
        <w:t>Inserção obrigatória — Formato: Mermaid flowchart TD</w:t>
      </w:r>
    </w:p>
    <w:p w14:paraId="0DBC76AB">
      <w:pPr>
        <w:spacing w:lineRule="auto"/>
      </w:pPr>
      <w:r>
        <w:drawing>
          <wp:inline distT="0" distB="0" distL="0" distR="0">
            <wp:extent cx="2857500" cy="57626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3618">
      <w:pPr>
        <w:spacing w:lineRule="auto"/>
      </w:pPr>
      <w:r>
        <w:rPr>
          <w:rFonts w:ascii="Calibri" w:hAnsi="Calibri" w:cs="Calibri"/>
          <w:sz w:val="24"/>
          <w:szCs w:val="24"/>
        </w:rPr>
        <w:t>Conteúdo: Fluxograma vertical com três gates sequenciais e anotação sobre change-request. Necessidade real: Materializa visualmente o mecanismo de prevenção de custos, demonstrando ao avaliador que "custo zero" não é ausência de governança, mas governança rigorosa sobre conformidade FOSS.</w:t>
      </w:r>
    </w:p>
    <w:p w14:paraId="1DCA7C4C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4.3 LINHA DE BASE DE CUSTOS</w:t>
      </w:r>
    </w:p>
    <w:p w14:paraId="0C94246D">
      <w:pPr>
        <w:spacing w:lineRule="auto"/>
      </w:pPr>
      <w:r>
        <w:rPr>
          <w:rFonts w:ascii="Calibri" w:hAnsi="Calibri" w:cs="Calibri"/>
          <w:sz w:val="24"/>
          <w:szCs w:val="24"/>
        </w:rPr>
        <w:t>Conforme TAP §11, a linha de base de custos é: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7A1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Categoria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EDC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Valor Aprovado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9B8D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Justificativa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32D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Recursos Humanos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545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D92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Esforço acadêmico voluntário (3 membros)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7FCB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Software e Ferramentas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BB5B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93C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FOSS ou Free Tier (TAP §3 — Inovação)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B33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Infraestrutura e Hospedagem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E13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DE3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Ambiente local/homologação (sem cloud paga)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2FA6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Reserva de Contingência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CFA1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C31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Inaplicável — linha de base zero inviabiliza reserva financeira; riscos de custo mitigados por substituição FOSS (Plano de Riscos, M2)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9E5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Reserva de Gerenciamento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D66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5A96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Inaplicável — mesma razão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8FA9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6356B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R$ 0,00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CF22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Linha de base imutável sem CCB</w:t>
            </w:r>
          </w:p>
        </w:tc>
      </w:tr>
    </w:tbl>
    <w:p w14:paraId="4071454B">
      <w:pPr>
        <w:spacing w:lineRule="auto"/>
      </w:pPr>
      <w:r/>
    </w:p>
    <w:p w14:paraId="37D4C411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Regra de imutabilidade:</w:t>
      </w:r>
      <w:r>
        <w:rPr>
          <w:rFonts w:ascii="Calibri" w:hAnsi="Calibri" w:cs="Calibri"/>
          <w:sz w:val="24"/>
          <w:szCs w:val="24"/>
        </w:rPr>
        <w:t xml:space="preserve"> A linha de base só pode ser alterada via change-request + aprovação do CCB (GP como membro único, TAP v3 §1.c) + ADR + comunicação ao Prof. Dr. Nivaldo Carleto no marco subsequente (Integração §1.7.3).</w:t>
      </w:r>
    </w:p>
    <w:p w14:paraId="3893997A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Premissa crítica (P2):</w:t>
      </w:r>
      <w:r>
        <w:rPr>
          <w:rFonts w:ascii="Calibri" w:hAnsi="Calibri" w:cs="Calibri"/>
          <w:sz w:val="24"/>
          <w:szCs w:val="24"/>
        </w:rPr>
        <w:t xml:space="preserve"> A disponibilidade contínua de ferramentas FOSS e Free Tier é assumida como verdadeira. Caso uma ferramenta essencial migre para modelo pago durante o projeto, aciona-se:</w:t>
      </w:r>
    </w:p>
    <w:p w14:paraId="77C3E3ED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Busca imediata de alternativa FOSS equivalente</w:t>
      </w:r>
    </w:p>
    <w:p w14:paraId="32FDE9D8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inexistente, redução de escopo (remoção da funcionalidade dependente)</w:t>
      </w:r>
    </w:p>
    <w:p w14:paraId="390735FB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Registro em ADR + lição aprendida</w:t>
      </w:r>
    </w:p>
    <w:p w14:paraId="7D4FBA34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4.4 ESTRATÉGIAS DE MEDIÇÃO E CONTROLE</w:t>
      </w:r>
    </w:p>
    <w:p w14:paraId="5E64C4DC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Dada a inaplicabilidade de EVM (Earned Value Management) — formalmente declarada como LEGADO na ADR-003 e na Integração §1.6.2, pois AC = 0 torna CPI e VAC matematicamente indeterminados —, o controle de custos opera por </w:t>
      </w:r>
      <w:r>
        <w:rPr>
          <w:rFonts w:ascii="Calibri" w:hAnsi="Calibri" w:cs="Calibri"/>
          <w:b/>
          <w:bCs/>
          <w:sz w:val="24"/>
          <w:szCs w:val="24"/>
        </w:rPr>
        <w:t>métricas de conformidade</w:t>
      </w:r>
      <w:r>
        <w:rPr>
          <w:rFonts w:ascii="Calibri" w:hAnsi="Calibri" w:cs="Calibri"/>
          <w:sz w:val="24"/>
          <w:szCs w:val="24"/>
        </w:rPr>
        <w:t>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6736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6352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Fórmula/Definição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DD4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7C6A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Frequência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3B9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2BD1B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% Dependências Auditadas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C1F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(Dependências com licença verificada / Total de dependências) × 100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92DD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C73B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Por commit (CI, conforme pipeline definido no Plano de Integração)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54CC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+ GP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7376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Desvios de Licenciamento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7C4A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Número de dependências com licença não-OSI ou incompatível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155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AB4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Contínuo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758E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703D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Custo Financeiro Acumulado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7F9C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Soma de todos os gastos realizados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5AD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10A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Semanal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D0A9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(self-report)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5BE8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Alternativas FOSS Mapeadas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3FBB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Número de ferramentas críticas com ≥1 alternativa FOSS identificada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844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≥2 por ferramenta crítica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951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M2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B72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Equipe</w:t>
            </w:r>
          </w:p>
        </w:tc>
      </w:tr>
    </w:tbl>
    <w:p w14:paraId="5874F4C3">
      <w:pPr>
        <w:spacing w:lineRule="auto"/>
      </w:pPr>
      <w:r/>
    </w:p>
    <w:p w14:paraId="476A6B1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Gatilhos de ação corretiva:</w:t>
      </w:r>
    </w:p>
    <w:p w14:paraId="7249D1F6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% Dependências Auditadas &lt; 100% → bloqueio de merge até auditoria concluída</w:t>
      </w:r>
    </w:p>
    <w:p w14:paraId="7574ADA3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Desvios de Licenciamento &gt; 0 → remoção imediata da dependência + change-request</w:t>
      </w:r>
    </w:p>
    <w:p w14:paraId="22D2F93E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Custo Financeiro Acumulado &gt; R$ 0,00 → reembolso imediato pela equipe + lição aprendida</w:t>
      </w:r>
    </w:p>
    <w:p w14:paraId="59734B37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4.5 REGRAS DE CONFORMIDADE FOSS</w:t>
      </w:r>
    </w:p>
    <w:p w14:paraId="29F771E8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4.5.1 Licenças Aprovadas (Whitelist)</w:t>
      </w:r>
    </w:p>
    <w:p w14:paraId="5C7C3F17">
      <w:pPr>
        <w:spacing w:lineRule="auto"/>
      </w:pPr>
      <w:r>
        <w:rPr>
          <w:rFonts w:ascii="Calibri" w:hAnsi="Calibri" w:cs="Calibri"/>
          <w:sz w:val="24"/>
          <w:szCs w:val="24"/>
        </w:rPr>
        <w:t>Apenas as seguintes licenças são permitidas no projeto COGME, conforme ADR-001 e EAP N1.4: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1304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Licença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219E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Família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74C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Restrições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E345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MIT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74DB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Permissiva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BECC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Nenhuma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7A7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Apache 2.0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8B69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Permissiva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628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Nenhuma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DDC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BSD (2-clause, 3-clause)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2FEB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Permissiva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34D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Nenhuma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42C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GPL v2/v3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B48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Copyleft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496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Exige que derivativos também sejam GPL (aceitável para MVP acadêmico)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DA6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LGPL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F8A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Copyleft fraco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7AA0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Incluída para completude da whitelist FOSS acadêmica; sem uso previsto no MVP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949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ISC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9B2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Permissiva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709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Equivalente à MIT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C100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PSF (Python Software Foundation)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CB5E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Permissiva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67007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Adicionada para Python 3.11 (ADR-001)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60676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Public Domain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9DB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público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276F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Adicionada para SQLite (ADR-001)</w:t>
            </w:r>
          </w:p>
        </w:tc>
      </w:tr>
    </w:tbl>
    <w:p w14:paraId="52C82BF2">
      <w:pPr>
        <w:spacing w:lineRule="auto"/>
      </w:pPr>
      <w:r/>
    </w:p>
    <w:p w14:paraId="6165BC1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Licenças proibidas (Blacklist):</w:t>
      </w:r>
    </w:p>
    <w:p w14:paraId="15C451F9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❌ Proprietárias / Comerciais</w:t>
      </w:r>
    </w:p>
    <w:p w14:paraId="230DBFDA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❌ Shareware / Freeware (sem código-fonte)</w:t>
      </w:r>
    </w:p>
    <w:p w14:paraId="754C2E2F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❌ Creative Commons (não é licença de software)</w:t>
      </w:r>
    </w:p>
    <w:p w14:paraId="5844F904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❌ Licenças "Source Available" não-OSI (ex: SSPL, BSL)</w:t>
      </w:r>
    </w:p>
    <w:p w14:paraId="5E01BAE9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❌ Licenças com restrições de uso comercial (violam definição OSI)</w:t>
      </w:r>
    </w:p>
    <w:p w14:paraId="7307621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4.5.2 Governança da Auditoria de Licenças</w:t>
      </w:r>
    </w:p>
    <w:p w14:paraId="48F9C8D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Delimitação de fronteiras (Área 4 vs Área 5):</w:t>
      </w:r>
      <w:r>
        <w:rPr>
          <w:rFonts w:ascii="Calibri" w:hAnsi="Calibri" w:cs="Calibri"/>
          <w:sz w:val="24"/>
          <w:szCs w:val="24"/>
        </w:rPr>
        <w:t xml:space="preserve"> Este plano estabelece a governança sobre conformidade FOSS (prevenção de custos ocultos por licenciamento inadequado), enquanto o Plano de Qualidade (Área 5) governa testes automatizados, coverage ≥ 80% e UAT (REQ-08 a REQ-10). A auditoria de licenças é compartilhada operacionalmente, mas a definição de whitelist/blacklist e os gatilhos de conformidade pertencem exclusivamente a esta Área de Custos, por derivação direta da Restrição TAP §8.4.</w:t>
      </w:r>
    </w:p>
    <w:p w14:paraId="44B27D05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A execução operacional da auditoria de licenças é realizada pela </w:t>
      </w:r>
      <w:r>
        <w:rPr>
          <w:rFonts w:ascii="Calibri" w:hAnsi="Calibri" w:cs="Calibri"/>
          <w:b/>
          <w:bCs/>
          <w:sz w:val="24"/>
          <w:szCs w:val="24"/>
        </w:rPr>
        <w:t>Fase N4.4 da EAP</w:t>
      </w:r>
      <w:r>
        <w:rPr>
          <w:rFonts w:ascii="Calibri" w:hAnsi="Calibri" w:cs="Calibri"/>
          <w:sz w:val="24"/>
          <w:szCs w:val="24"/>
        </w:rPr>
        <w:t xml:space="preserve"> (conforme Plano de Escopo §2.5), fundamentada na </w:t>
      </w:r>
      <w:r>
        <w:rPr>
          <w:rFonts w:ascii="Calibri" w:hAnsi="Calibri" w:cs="Calibri"/>
          <w:b/>
          <w:bCs/>
          <w:sz w:val="24"/>
          <w:szCs w:val="24"/>
        </w:rPr>
        <w:t>Política de Licenciamento da Fase N1.4</w:t>
      </w:r>
      <w:r>
        <w:rPr>
          <w:rFonts w:ascii="Calibri" w:hAnsi="Calibri" w:cs="Calibri"/>
          <w:sz w:val="24"/>
          <w:szCs w:val="24"/>
        </w:rPr>
        <w:t>. Este plano não duplica procedimentos operacionais de auditoria — estabelece a governança sobre N1.4 e N4.4: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609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Aspecto de Governança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F1CC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6DFC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 pela execução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060D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Equipe técnica (conforme EAP N4.4)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DBD3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 pela supervisão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FB3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EABF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Frequência mínima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94E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Por marco (M1–M4) + revalidação a cada nova dependência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B590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Artefato de saída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E8EF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/docs/dependencias/registro.md</w:t>
            </w:r>
          </w:p>
          <w:p w14:paraId="1EE1687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(conforme EAP N4.4)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8B6F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Critério de aceite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FFC7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das dependências com licença OSI-approved verificada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38AC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Gatilho de escalation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D821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Qualquer dependência não-conforme →</w:t>
            </w:r>
          </w:p>
          <w:p w14:paraId="7C74FD5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  <w:p w14:paraId="68A0F11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imediato (Integração §1.7)</w:t>
            </w:r>
          </w:p>
        </w:tc>
      </w:tr>
    </w:tbl>
    <w:p w14:paraId="1FEAFC15">
      <w:pPr>
        <w:spacing w:lineRule="auto"/>
      </w:pPr>
      <w:r/>
    </w:p>
    <w:p w14:paraId="52A721C8">
      <w:pPr>
        <w:spacing w:lineRule="auto"/>
      </w:pPr>
    </w:p>
    <w:p w14:paraId="660F6222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Matriz de Rastreabilidade de Dependências]</w:t>
      </w:r>
      <w:r>
        <w:rPr>
          <w:rFonts w:ascii="Calibri" w:hAnsi="Calibri" w:cs="Calibri"/>
          <w:sz w:val="24"/>
          <w:szCs w:val="24"/>
        </w:rPr>
        <w:t xml:space="preserve"> Formato: Tabela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DC2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Dependência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22DA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E5FD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Licença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799D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Conformidade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642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EAP N1.4/N4.4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5D16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ADR-001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665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FastAPI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5629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≥0.100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9590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MIT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D60B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79E5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4D4A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685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SQLite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FC6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3.x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1042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Public Domain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3AE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8825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9F67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277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WeasyPrint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2FF7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≥59.0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F40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BSD-3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FE1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928E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B67E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617A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pytest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F26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≥7.0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AC22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MIT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E5C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A3C5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36F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AF9F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Actions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D31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Free Tier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78A6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Proprietário gratuito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A6F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7467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N1.4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EDB1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  <w:tr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C77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llama.cpp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876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0.4.0-dev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2F40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MIT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06FE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508D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N4.4</w:t>
            </w:r>
          </w:p>
        </w:tc>
        <w:tc>
          <w:tcPr>
            <w:tcW w:w="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9CD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</w:t>
            </w:r>
          </w:p>
        </w:tc>
      </w:tr>
    </w:tbl>
    <w:p w14:paraId="7E7691C2">
      <w:pPr>
        <w:spacing w:lineRule="auto"/>
      </w:pPr>
      <w:r/>
    </w:p>
    <w:p w14:paraId="7F89F60A">
      <w:pPr>
        <w:spacing w:lineRule="auto"/>
      </w:pPr>
      <w:r>
        <w:rPr>
          <w:rFonts w:ascii="Calibri" w:hAnsi="Calibri" w:cs="Calibri"/>
          <w:sz w:val="24"/>
          <w:szCs w:val="24"/>
        </w:rPr>
        <w:t>Conteúdo: Tabela visual com 6 exemplos reais da stack, usando ícones ✅ para conformes. Necessidade real: Demonstra ao avaliador que "custo zero" é auditável e rastreável, não apenas declarado.</w:t>
      </w:r>
    </w:p>
    <w:p w14:paraId="67AAC02F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4.6 GESTÃO DE MUDANÇAS DE CUSTOS</w:t>
      </w:r>
    </w:p>
    <w:p w14:paraId="2DB277D2">
      <w:pPr>
        <w:spacing w:lineRule="auto"/>
      </w:pPr>
      <w:r>
        <w:rPr>
          <w:rFonts w:ascii="Calibri" w:hAnsi="Calibri" w:cs="Calibri"/>
          <w:sz w:val="24"/>
          <w:szCs w:val="24"/>
        </w:rPr>
        <w:t>Qualquer alteração que possa impactar a linha de base de custos (mesmo que o impacto seja R$ 0,00) segue o fluxo do Plano de Integração §1.7: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3DBD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Tipo de Mudança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567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Exemplo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994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Nível de Formalidade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BF05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Adição de dependência FOSS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76F5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Incluir biblioteca</w:t>
            </w:r>
          </w:p>
          <w:p w14:paraId="22E4A9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httpx</w:t>
            </w:r>
          </w:p>
          <w:p w14:paraId="214BE5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para chamadas HTTP assíncronas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EC8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Registro em commit + atualização de</w:t>
            </w:r>
          </w:p>
          <w:p w14:paraId="108C8D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/docs/dependencias/registro.md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D37E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Troca de ferramenta FOSS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9F5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Substituir FastAPI por Flask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394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 específica (gatilho G2 — irreversibilidade prática)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8FED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Mudança de licença de dependência existente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8C5D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Biblioteca X migra de MIT para licença proprietária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253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  <w:p w14:paraId="4D2823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+ substituição imediata + ADR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AB8F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Violação acidental de conformidade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1F5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Dependência com licença não-OSI incorporada sem auditoria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8A85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  <w:p w14:paraId="7971F7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+ remoção + lição aprendida</w:t>
            </w:r>
          </w:p>
        </w:tc>
      </w:tr>
    </w:tbl>
    <w:p w14:paraId="40CE568F">
      <w:pPr>
        <w:spacing w:lineRule="auto"/>
      </w:pPr>
      <w:r/>
    </w:p>
    <w:p w14:paraId="5F71A7C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Regra de escalation:</w:t>
      </w:r>
      <w:r>
        <w:rPr>
          <w:rFonts w:ascii="Calibri" w:hAnsi="Calibri" w:cs="Calibri"/>
          <w:sz w:val="24"/>
          <w:szCs w:val="24"/>
        </w:rPr>
        <w:t xml:space="preserve"> Se uma dependência crítica (ex: FastAPI, SQLite) mudar de licença para não-FOSS durante o projeto, e não houver alternativa viável:</w:t>
      </w:r>
    </w:p>
    <w:p w14:paraId="7E5825BF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GP aciona change-request imediato</w:t>
      </w:r>
    </w:p>
    <w:p w14:paraId="0958DD34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Avalia redução de escopo (remoção da funcionalidade dependente)</w:t>
      </w:r>
    </w:p>
    <w:p w14:paraId="25B04DB5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Comunica ao Prof. Dr. Nivaldo Carleto no marco subsequente</w:t>
      </w:r>
    </w:p>
    <w:p w14:paraId="060823B3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Registra como risco materializado (Plano de Riscos, M2)</w:t>
      </w:r>
    </w:p>
    <w:p w14:paraId="623D6A03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4.7 PREMISSAS E RESTRIÇÕES APLICÁVEIS</w:t>
      </w:r>
    </w:p>
    <w:p w14:paraId="63E0076E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Premissas:</w:t>
      </w:r>
    </w:p>
    <w:p w14:paraId="648C5139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P2 (FOSS absoluto): Todas as ferramentas necessárias estão disponíveis sob licenças OSI-approved</w:t>
      </w:r>
    </w:p>
    <w:p w14:paraId="2BB3F149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P6 (Hardware adequado): Não há necessidade de infraestrutura de nuvem paga</w:t>
      </w:r>
    </w:p>
    <w:p w14:paraId="74C09A59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P9 (Separação ontológica):</w:t>
      </w:r>
      <w:r>
        <w:rPr>
          <w:rFonts w:ascii="Calibri" w:hAnsi="Calibri" w:cs="Calibri"/>
          <w:sz w:val="24"/>
          <w:szCs w:val="24"/>
        </w:rPr>
        <w:t xml:space="preserve"> O TAP é referência autorizativa congelada; este plano é leitura operacional que pode divergir textualmente sem constituir correção do TAP</w:t>
      </w:r>
    </w:p>
    <w:p w14:paraId="03BF4E8D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PA-C1 (Free Tier sustentável): APIs e serviços gratuitos (ex: GitHub Actions Free Tier) permanecem disponíveis durante todo o ciclo de vida</w:t>
      </w:r>
    </w:p>
    <w:p w14:paraId="3A90C2A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Restrições:</w:t>
      </w:r>
    </w:p>
    <w:p w14:paraId="1CBE814F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§8.4: Proibição absoluta de aquisições pagas</w:t>
      </w:r>
    </w:p>
    <w:p w14:paraId="11698D22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§11: Linha de base de custos = R$ 0,00 (imutável sem CCB)</w:t>
      </w:r>
    </w:p>
    <w:p w14:paraId="49408D26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§3 (Inovação): 100% das ferramentas devem ser FOSS ou Free Tier</w:t>
      </w:r>
    </w:p>
    <w:p w14:paraId="76C11A7A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4.8 CONDIÇÕES DE FRACASSO E ESCALATION</w:t>
      </w:r>
    </w:p>
    <w:p w14:paraId="631E9BA9">
      <w:pPr>
        <w:spacing w:lineRule="auto"/>
      </w:pPr>
      <w:r>
        <w:rPr>
          <w:rFonts w:ascii="Calibri" w:hAnsi="Calibri" w:cs="Calibri"/>
          <w:sz w:val="24"/>
          <w:szCs w:val="24"/>
        </w:rPr>
        <w:t>Derivadas do TAP §3.3, com distinção entre gatilhos de alerta preventivo (internos) e condições formais de fracasso (TAP):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8D0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Tipo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2D3C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Gatilho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274B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Limiar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263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Ação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65D8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C9CD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Alerta preventivo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F76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Dependências não-OSI detectadas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1FCC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&gt; 5%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0AC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Auditoria emergencial + substituição ≤ 48h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8071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(interno)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08F4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Fracasso formal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3CD2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Dependências incompatíveis com FOSS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F8C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&gt; 30%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CFE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Condição de não sucesso do projeto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D7A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§3.3.e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B708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Alerta preventivo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5F1A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Custo financeiro &gt; R$ 0,00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D9B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Qualquer valor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07C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Reembolso imediato + lição aprendida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672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(interno)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7E2F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Alerta preventivo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FCE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Dependência crítica sem alternativa FOSS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24CE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 ocorrência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C969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Redução de escopo + ADR ≤ 72h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D34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+ CCB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918D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Fracasso formal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AD7E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Falha na auditoria em 2 marcos consecutivos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C37B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 marcos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E9BB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de processo + treinamento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EED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</w:tr>
    </w:tbl>
    <w:p w14:paraId="541FFA3D">
      <w:pPr>
        <w:spacing w:lineRule="auto"/>
      </w:pPr>
      <w:r/>
    </w:p>
    <w:p w14:paraId="2472260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Nota de reconciliação (NC-C2):</w:t>
      </w:r>
      <w:r>
        <w:rPr>
          <w:rFonts w:ascii="Calibri" w:hAnsi="Calibri" w:cs="Calibri"/>
          <w:sz w:val="24"/>
          <w:szCs w:val="24"/>
        </w:rPr>
        <w:t xml:space="preserve"> O limiar de 5% é um gatilho de alerta preventivo interno, mais restritivo que a condição formal de fracasso do TAP §3.3.e (30%). A intenção é detectar desvios precocemente, permitindo ação corretiva antes que o limiar formal seja atingido. Trade-off: maior rigor operacional em troca de margem de segurança.</w:t>
      </w:r>
    </w:p>
    <w:p w14:paraId="1F007461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4.9 DECLARAÇÃO DE RASTREABILIDADE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D64D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8956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Origem no TAP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3533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PMBOK 7ª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414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PMBOK 6ª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5301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4.1 (Propósito; freeze)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90BB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§11 + §8 + Premissa P9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697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 + 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771F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7.1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AF9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4.2 (Abordagem)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3B31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(Inovação) + §8 + EAP N1.4, N4.1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A20B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Abordagem de Desenvolvimento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B0FD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7.1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B69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4.3 (Linha de Base)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F02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§11 (Orçamento Zero)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3F9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A5B0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7.3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5FF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4.4 (Métricas)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E92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(Métricas) + §11 + ADR-003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C0D5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Medição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9CE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7.4 (substituição)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5D16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4.5 (Conformidade FOSS)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6DA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(Inovação) + §8 + ADR-001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CD4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F74A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8.3 (controle aplicado)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D75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4.6 (Mudanças)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2261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§3.3 + §10 + Integração §1.7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1CB3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Incerteza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ACF0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4.6 + 7.4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765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4.8 (Fracasso)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950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§3.3.e (30%) + §3.2.b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B0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Incerteza + 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62FB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7.4</w:t>
            </w:r>
          </w:p>
        </w:tc>
      </w:tr>
    </w:tbl>
    <w:p w14:paraId="1152582D">
      <w:pPr>
        <w:spacing w:lineRule="auto"/>
      </w:pPr>
      <w:r/>
    </w:p>
    <w:p w14:paraId="3C52F654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Verificação:</w:t>
      </w:r>
      <w:r>
        <w:rPr>
          <w:rFonts w:ascii="Calibri" w:hAnsi="Calibri" w:cs="Calibri"/>
          <w:sz w:val="24"/>
          <w:szCs w:val="24"/>
        </w:rPr>
        <w:t xml:space="preserve"> 100% das seções possuem rastreabilidade a ao menos uma premissa, restrição ou objetivo SMART do TAP.</w:t>
      </w:r>
    </w:p>
    <w:p w14:paraId="69DBE04B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4.10 NOTAS DE CONTEXTO E REGISTRO DE SANEAMENTO DOS ARTEFATOS VIVOS</w:t>
      </w:r>
    </w:p>
    <w:p w14:paraId="737474DA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NC-C1 — Inaplicabilidade de Processos 7.2–7.4 do PMBOK 6ª:</w:t>
      </w:r>
      <w:r>
        <w:rPr>
          <w:rFonts w:ascii="Calibri" w:hAnsi="Calibri" w:cs="Calibri"/>
          <w:sz w:val="24"/>
          <w:szCs w:val="24"/>
        </w:rPr>
        <w:t xml:space="preserve"> Este plano declara formalmente que os processos "Estimar Custos" (7.2), "Determinar Orçamento" (7.3) e "Controlar Custos" (7.4) são inaplicáveis no sentido tradicional, pois a linha de base é R$ 0,00. O plano substitui estes processos por: (a) governança sobre conformidade FOSS (N1.4 + N4.4), (b) prevenção de desvios de licenciamento, (c) métricas de conformidade (§4.4). Esta substituição é fundamentada na ADR-003 (EVM LEGADO) e é defensável academicamente pelo Domínio de Medição do PMBOK 7ª (métricas adaptadas ao contexto) e pela Restrição TAP §11.</w:t>
      </w:r>
    </w:p>
    <w:p w14:paraId="06D6110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NC-C2 — Delimitação de Fronteiras (Área 4 vs Área 5 vs Escopo):</w:t>
      </w:r>
      <w:r>
        <w:rPr>
          <w:rFonts w:ascii="Calibri" w:hAnsi="Calibri" w:cs="Calibri"/>
          <w:sz w:val="24"/>
          <w:szCs w:val="24"/>
        </w:rPr>
        <w:t xml:space="preserve"> A Fase N1.4 (Política de Licenciamento FOSS) e a Fase N4.4 (Auditoria de Licenças) são os artefatos canônicos de execução da conformidade FOSS. Este plano de custos estabelece exclusivamente a governança sobre N1.4 e N4.4 (whitelist/blacklist, gatilhos, métricas, escalation), sem duplicar procedimentos operacionais. Invasão de escopo prevenida por referência cruzada: "Conforme EAP N1.4 (política) e N4.4 (auditoria), governado por este plano §4.5". O Plano de Qualidade (Área 5) governa critérios de aceite de testes (coverage ≥ 80%, UAT), não conformidade de licenças.</w:t>
      </w:r>
    </w:p>
    <w:p w14:paraId="2C1E75F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NC-C3 — Numeração de Processos no Glossário:</w:t>
      </w:r>
      <w:r>
        <w:rPr>
          <w:rFonts w:ascii="Calibri" w:hAnsi="Calibri" w:cs="Calibri"/>
          <w:sz w:val="24"/>
          <w:szCs w:val="24"/>
        </w:rPr>
        <w:t xml:space="preserve"> O Glossário registra incorretamente "Processo 6.4 Estimar Custos". A numeração canônica é: Área 7 (Custos), Processo 7.2 (Estimar Custos). Esta inconsistência é registrada para saneamento na próxima revisão do Glossário (pós-M1).</w:t>
      </w:r>
    </w:p>
    <w:p w14:paraId="67DAE98A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NC-C4 — Regime de Freeze do TAP (Diretriz D3):</w:t>
      </w:r>
      <w:r>
        <w:rPr>
          <w:rFonts w:ascii="Calibri" w:hAnsi="Calibri" w:cs="Calibri"/>
          <w:sz w:val="24"/>
          <w:szCs w:val="24"/>
        </w:rPr>
        <w:t xml:space="preserve"> O TAP é referência autorizativa congelada (última versão: 18/09/2026, anterior a todos os planos). Divergências textuais entre este plano e o TAP são leituras operacionais, não correções do termo autorizativo. Toda divergência é registrada como Nota de Contexto nesta seção. Fontes: TAP Controle de Versões; Premissa P9; Glossário §11; PMBOK 6ª §4.1.</w:t>
      </w:r>
    </w:p>
    <w:p w14:paraId="262746CC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CONTROLE DE VERSÕES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5E1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6543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Data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29C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Alteração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2CD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552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E09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AEF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Emissão inicial: abordagem de custo zero, conformidade FOSS, métricas de substituição de EVM, FIG-1 e FIG-3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DB4A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D184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6848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2E2A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crítica: P9 e Domínio de Medição incluídos; §4.5.2 reescrita como governança sobre N4.4 — zero invasão de escopo; remapeamento §4.9 de 8.3 para 7.1 + nota de interface com Qualidade; NC-C4 (freeze do TAP) adicionada; referência ao Plano de Integração no pipeline CI; reservas rejustificadas; ADR-003 referenciada; LGPL rejustificada; CCB com fonte TAP v3 §1.c; gatilho de marcos ajustado para 1; ADR-001 com status "quando emitida"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B85D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49BF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673E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53CD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Refinamento final:</w:t>
            </w:r>
          </w:p>
          <w:p w14:paraId="57FFAFA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N1.4 adicionada como fonte canônica junto a N4.4; whitelist expandida com PSF e Public Domain (ADR-001); delimitação de fronteiras com Qualidade inserida; FIG-2 reclassificada de "opcional" para "excluída" com justificativa GMV; NC-C2 aprimorada com reconciliação entre gatilho preventivo (5%) e fracasso formal (30%); tabela de abordagem expandida com coluna "Fonte Canônica"; seção 4.8 reestruturada com distinção alerta/fracasso; FIG-3 com exemplos reais da stack; texto não aderente removido; organização definitiva de tópicos e diagramas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FE9F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Leonardo D. S. Setti</w:t>
            </w:r>
          </w:p>
        </w:tc>
      </w:tr>
    </w:tbl>
    <w:p w14:paraId="1E9C671F">
      <w:pPr>
        <w:spacing w:lineRule="auto"/>
      </w:pPr>
      <w:r/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WkenUf5pJQz9J_5CeHeCo.png" TargetMode="Internal"/>
  <Relationship Id="rId6" Type="http://schemas.openxmlformats.org/officeDocument/2006/relationships/theme" Target="theme/theme1.xml" TargetMode="Internal"/>
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2026-09-19T21:52:58.458Z</dcterms:created>
  <dcterms:modified xsi:type="dcterms:W3CDTF">2026-09-20T22:51:25.009Z</dcterms:modified>
</cp:coreProperties>
</file>