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</w:rPr>
      </w:pPr>
      <w:bookmarkStart w:id="0" w:name="_GoBack"/>
      <w:r>
        <w:rPr>
          <w:rFonts w:hint="default" w:ascii="Calibri" w:hAnsi="Calibri" w:cs="Calibri"/>
          <w:sz w:val="20"/>
          <w:szCs w:val="20"/>
        </w:rPr>
        <w:t>Esta seção define os pontos de verificação temporal críticos (milestones) do projeto COGME, conforme o Processo 6.5 (Desenvolver o Cronograma) do PMBOK® 6ª edição e o Domínio de Medição do PMBOK® 7ª edição. Os marcos estão diretamente vinculados às Macro-Fases (MF) da Estrutura Analítica do Projeto (EAP v2.0) e servem como gatilhos para entregas de valor e validação pelo stakeholder.</w:t>
      </w: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Regra de consistência:</w:t>
      </w:r>
      <w:r>
        <w:rPr>
          <w:rFonts w:hint="default" w:ascii="Calibri" w:hAnsi="Calibri" w:cs="Calibri"/>
          <w:sz w:val="20"/>
          <w:szCs w:val="20"/>
        </w:rPr>
        <w:t xml:space="preserve"> Todo marco deve possuir (a) data alvo realista, (b) descrição clara do entregável de valor, (c) vínculo com a Macro-Fase da EAP, e (d) critério de aceite objetivo.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6.1. Tabela de Marcos Principais</w:t>
      </w:r>
    </w:p>
    <w:tbl>
      <w:tblPr>
        <w:tblStyle w:val="9"/>
        <w:tblW w:w="8970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36"/>
        <w:gridCol w:w="963"/>
        <w:gridCol w:w="2697"/>
        <w:gridCol w:w="1382"/>
        <w:gridCol w:w="269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9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Macro-Fase (EAP)</w:t>
            </w:r>
          </w:p>
        </w:tc>
        <w:tc>
          <w:tcPr>
            <w:tcW w:w="25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Descrição do Marco (Entrega de Valor)</w:t>
            </w:r>
          </w:p>
        </w:tc>
        <w:tc>
          <w:tcPr>
            <w:tcW w:w="13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Data Alvo</w:t>
            </w:r>
          </w:p>
        </w:tc>
        <w:tc>
          <w:tcPr>
            <w:tcW w:w="25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Critério de Aceite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M1</w:t>
            </w:r>
          </w:p>
        </w:tc>
        <w:tc>
          <w:tcPr>
            <w:tcW w:w="9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MF1: Fundação</w:t>
            </w:r>
          </w:p>
        </w:tc>
        <w:tc>
          <w:tcPr>
            <w:tcW w:w="25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Entrega Parcial Documental: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Aprovação do TAP v1.0 + Planos de Gerenciamento das Áreas 1 a 5 (Integração, Escopo, Cronograma, Custos, Qualidade) + 12 PDCAs consolidados + Diagrama de Ishikawa.</w:t>
            </w:r>
          </w:p>
        </w:tc>
        <w:tc>
          <w:tcPr>
            <w:tcW w:w="13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22/09/2026</w:t>
            </w:r>
          </w:p>
        </w:tc>
        <w:tc>
          <w:tcPr>
            <w:tcW w:w="25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Documentação submetida via GitHub e validada pelo Prof. Dr. Nivaldo Carletto sem achados críticos.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M2</w:t>
            </w:r>
          </w:p>
        </w:tc>
        <w:tc>
          <w:tcPr>
            <w:tcW w:w="9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MF1: Fundação</w:t>
            </w:r>
          </w:p>
        </w:tc>
        <w:tc>
          <w:tcPr>
            <w:tcW w:w="25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Ambiente e Modelação Concluídos: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Stack FOSS definida e validada (ADR-002), ambiente local/CI configurado, DER e Protótipo UX/UI aprovados.</w:t>
            </w:r>
          </w:p>
        </w:tc>
        <w:tc>
          <w:tcPr>
            <w:tcW w:w="13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30/09/2026</w:t>
            </w:r>
          </w:p>
        </w:tc>
        <w:tc>
          <w:tcPr>
            <w:tcW w:w="25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Pipeline CI "verde" e artefatos de modelagem versionados no repositório.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M3</w:t>
            </w:r>
          </w:p>
        </w:tc>
        <w:tc>
          <w:tcPr>
            <w:tcW w:w="9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MF2: Construção</w:t>
            </w:r>
          </w:p>
        </w:tc>
        <w:tc>
          <w:tcPr>
            <w:tcW w:w="25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MVP Funcional (Beta):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Código-fonte full-stack operacional (Backend, Frontend, PDF, SDD com IA), com cobertura de testes ≥ 80% e validado em UAT local.</w:t>
            </w:r>
          </w:p>
        </w:tc>
        <w:tc>
          <w:tcPr>
            <w:tcW w:w="13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15/11/2026</w:t>
            </w:r>
          </w:p>
        </w:tc>
        <w:tc>
          <w:tcPr>
            <w:tcW w:w="25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Zero defeitos críticos/bloqueantes; métricas de fluxo (Cycle Time/Throughput) dentro da baseline.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16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M4</w:t>
            </w:r>
          </w:p>
        </w:tc>
        <w:tc>
          <w:tcPr>
            <w:tcW w:w="9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MF3: Consolidação</w:t>
            </w:r>
          </w:p>
        </w:tc>
        <w:tc>
          <w:tcPr>
            <w:tcW w:w="254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Encerramento e Aceite Final:</w:t>
            </w:r>
          </w:p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 xml:space="preserve"> Documentação técnica consolidada, lições aprendidas, verificação dos critérios SMART e apresentação final com aceite formal.</w:t>
            </w:r>
          </w:p>
        </w:tc>
        <w:tc>
          <w:tcPr>
            <w:tcW w:w="13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</w:rPr>
              <w:t>15/12/2026</w:t>
            </w:r>
          </w:p>
        </w:tc>
        <w:tc>
          <w:tcPr>
            <w:tcW w:w="253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Termo de Aceite assinado pelo Prof. Dr. Nivaldo Carletto e repositório com tag de release final.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6.2. Premissas Temporais e Riscos Associados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Janela de Entrega Parcial:</w:t>
      </w:r>
      <w:r>
        <w:rPr>
          <w:rFonts w:hint="default" w:ascii="Calibri" w:hAnsi="Calibri" w:cs="Calibri"/>
          <w:sz w:val="20"/>
          <w:szCs w:val="20"/>
        </w:rPr>
        <w:t xml:space="preserve"> O marco M1 (22/09/2026) é inegociável para fins de avaliação acadêmica intermediária. Qualquer desvio superior a 3 dias úteis acionará o processo de Gestão de Mudanças (Fase N10 da EAP).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Paralelismo via Kanban:</w:t>
      </w:r>
      <w:r>
        <w:rPr>
          <w:rFonts w:hint="default" w:ascii="Calibri" w:hAnsi="Calibri" w:cs="Calibri"/>
          <w:sz w:val="20"/>
          <w:szCs w:val="20"/>
        </w:rPr>
        <w:t xml:space="preserve"> As datas representam o target de conclusão da Macro-Fase. Dentro de cada MF, as fases da EAP não são estritamente sequenciais; o paralelismo é gerenciado via pull system e WIP limits no GitHub Projects.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Risco de Atraso (R-01 e R-08):</w:t>
      </w:r>
      <w:r>
        <w:rPr>
          <w:rFonts w:hint="default" w:ascii="Calibri" w:hAnsi="Calibri" w:cs="Calibri"/>
          <w:sz w:val="20"/>
          <w:szCs w:val="20"/>
        </w:rPr>
        <w:t xml:space="preserve"> A sobrecarga da equipe ou a indefinição da stack podem impactar os marcos M2 e M3. A mitigação depende da aplicação rigorosa do princípio de Governança Mínima Viável (GMV) e do fallback para modelos LLM mais leves (Qwen 14B) se necessário.</w:t>
      </w:r>
    </w:p>
    <w:p>
      <w:pPr>
        <w:pStyle w:val="5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6.3. Declaração de Rastreabilidade (Marcos → EAP → Objetivos SMART)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52"/>
        <w:gridCol w:w="2990"/>
        <w:gridCol w:w="401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Marco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Fases da EAP v2.0 Abrangidas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Objetivo SMART do TAP §3 Atendido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N1, N2, N3, N4, N9, N10 (parcial)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Cronograma (Marcos) e Inovação (FOSS/SDD)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N4 (conclusão), N3 (conclusão)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Produto (Escopo) e Inovação (Ferramentas)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N5, N6, N7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Produto (Escopo) e Qualidade e Testes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M4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N11, N12, N13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</w:rPr>
              <w:t>Qualidade e Testes e Cronograma (Marcos)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bookmarkEnd w:id="0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B9F93A"/>
    <w:multiLevelType w:val="multilevel"/>
    <w:tmpl w:val="16B9F93A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67F72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2026-09-16T15:12:14Z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