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 INTEGRAÇÃO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Plano de Gerenciamento da IntegraçãoProjeto:</w:t>
      </w:r>
      <w:r>
        <w:rPr>
          <w:rFonts w:hint="default" w:ascii="Calibri" w:hAnsi="Calibri" w:cs="Calibri"/>
        </w:rPr>
        <w:t xml:space="preserve"> COGME — Conversor de Ganhos em Moeda Estrangeira </w:t>
      </w:r>
      <w:r>
        <w:rPr>
          <w:rFonts w:hint="default" w:ascii="Calibri" w:hAnsi="Calibri" w:cs="Calibri"/>
          <w:b/>
        </w:rPr>
        <w:t>Versão:</w:t>
      </w:r>
      <w:r>
        <w:rPr>
          <w:rFonts w:hint="default" w:ascii="Calibri" w:hAnsi="Calibri" w:cs="Calibri"/>
        </w:rPr>
        <w:t xml:space="preserve"> 2.0 </w:t>
      </w:r>
      <w:r>
        <w:rPr>
          <w:rFonts w:hint="default" w:ascii="Calibri" w:hAnsi="Calibri" w:cs="Calibri"/>
          <w:b/>
        </w:rPr>
        <w:t>Data:</w:t>
      </w:r>
      <w:r>
        <w:rPr>
          <w:rFonts w:hint="default" w:ascii="Calibri" w:hAnsi="Calibri" w:cs="Calibri"/>
        </w:rPr>
        <w:t xml:space="preserve"> 20/09/2026 </w:t>
      </w:r>
      <w:r>
        <w:rPr>
          <w:rFonts w:hint="default" w:ascii="Calibri" w:hAnsi="Calibri" w:cs="Calibri"/>
          <w:b/>
        </w:rPr>
        <w:t>Autores:</w:t>
      </w:r>
      <w:r>
        <w:rPr>
          <w:rFonts w:hint="default" w:ascii="Calibri" w:hAnsi="Calibri" w:cs="Calibri"/>
        </w:rPr>
        <w:t xml:space="preserve"> Leonardo David Silva Setti (GP), Fabricio de Lima Cabral, Edson Luis Silva </w:t>
      </w:r>
      <w:r>
        <w:rPr>
          <w:rFonts w:hint="default" w:ascii="Calibri" w:hAnsi="Calibri" w:cs="Calibri"/>
          <w:b/>
        </w:rPr>
        <w:t>Stakeholder-Avaliador:</w:t>
      </w:r>
      <w:r>
        <w:rPr>
          <w:rFonts w:hint="default" w:ascii="Calibri" w:hAnsi="Calibri" w:cs="Calibri"/>
        </w:rPr>
        <w:t xml:space="preserve"> Prof. Dr. Nivaldo Carleto — Fatec Taquaritinga / ADS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plano deriva diretamente das Premissas P1 (governança híbrida), P3 (SDD com LLM), P4 (código como deliverable) e P7 (stakeholder-avaliador único nos marcos), e das Restrições de Cronograma e Custo do TAP, respeitando o Domínio de Abordagem de Desenvolvimento e o Domínio de Trabalho do Projeto do PMBOK® 7ª edição.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Identificação e Propósito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Plano de Gerenciamento da Integração coordena a execução integrada do projeto COGME, garantindo que os sete planos de área subsequentes — quatro entregues no marco M1 (Escopo, Cronograma, Custos, Qualidade) e três diferidos para o marco M2 (Recursos, Comunicações, Riscos), conforme a estratégia de entrega faseada da seção 1.4.1 —, o código-fonte e os artefatos de governança permaneçam coerentes com os Objetivos SMART aprovados no TAP.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Função ontológica:</w:t>
      </w:r>
      <w:r>
        <w:rPr>
          <w:rFonts w:hint="default" w:ascii="Calibri" w:hAnsi="Calibri" w:cs="Calibri"/>
        </w:rPr>
        <w:t xml:space="preserve"> O TAP autoriza; este plano coordena. Ele não duplica conteúdo do TAP — define os mecanismos de coerência entre todos os artefatos do ciclo de vida.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Abordagem de Desenvolvimento.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(dicionário, obsolescência assumida):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Modelo de Governança Híbrida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projeto adota um modelo trifásico de governança, declarado no TAP (§1.c):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33"/>
        <w:gridCol w:w="4013"/>
        <w:gridCol w:w="282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Camada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Fonte Normativa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Função no COGME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primária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7ª edição — 12 Princípios + 8 Domínios de Desempenho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que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para quê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; orienta decisões por valor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Dicionário complementar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6ª edição — processos citados apenas para rastreabilidade acadêmica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Fornece vocabulário estrutural quando necessário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Método de execução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Manifesto Ágil (4 valores) + Kanban (fluxo contínuo)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como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o trabalho é executado diariamente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  <w:b/>
          <w:lang w:val="pt-BR"/>
        </w:rPr>
      </w:pPr>
      <w:r>
        <w:rPr>
          <w:rFonts w:hint="default" w:ascii="Calibri" w:hAnsi="Calibri" w:cs="Calibri"/>
          <w:b/>
          <w:lang w:val="pt-BR"/>
        </w:rPr>
        <w:t>Figura 1 — Modelo de governança híbrida trifásico do projeto COGME</w:t>
      </w:r>
    </w:p>
    <w:p>
      <w:pPr>
        <w:ind w:left="284"/>
        <w:jc w:val="both"/>
        <w:rPr>
          <w:rFonts w:hint="default" w:ascii="Calibri" w:hAnsi="Calibri" w:cs="Calibri"/>
          <w:b/>
          <w:lang w:val="pt-BR"/>
        </w:rPr>
      </w:pPr>
      <w:r>
        <w:rPr>
          <w:rFonts w:hint="default" w:ascii="Calibri" w:hAnsi="Calibri" w:cs="Calibri"/>
          <w:b/>
          <w:lang w:val="pt-BR"/>
        </w:rPr>
        <w:drawing>
          <wp:inline distT="0" distB="0" distL="114300" distR="114300">
            <wp:extent cx="5458460" cy="4827270"/>
            <wp:effectExtent l="0" t="0" r="8890" b="11430"/>
            <wp:docPr id="2" name="Picture 2" descr="fig-01-governanca-hibr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-01-governanca-hibri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4"/>
        <w:jc w:val="both"/>
        <w:rPr>
          <w:rFonts w:hint="default" w:ascii="Calibri" w:hAnsi="Calibri" w:cs="Calibri"/>
          <w:b w:val="0"/>
          <w:bCs/>
        </w:rPr>
      </w:pPr>
      <w:r>
        <w:rPr>
          <w:rFonts w:hint="default" w:ascii="Calibri" w:hAnsi="Calibri" w:cs="Calibri"/>
          <w:b w:val="0"/>
          <w:bCs/>
        </w:rPr>
        <w:t>Fonte: Elaborado pelos autores (2026).</w:t>
      </w:r>
    </w:p>
    <w:p>
      <w:pPr>
        <w:ind w:left="284"/>
        <w:jc w:val="both"/>
        <w:rPr>
          <w:rFonts w:hint="default" w:ascii="Calibri" w:hAnsi="Calibri" w:cs="Calibri"/>
          <w:b w:val="0"/>
          <w:bCs/>
        </w:rPr>
      </w:pPr>
      <w:r>
        <w:rPr>
          <w:rFonts w:hint="default" w:ascii="Calibri" w:hAnsi="Calibri" w:cs="Calibri"/>
          <w:b/>
        </w:rPr>
        <w:t xml:space="preserve">Nota: </w:t>
      </w:r>
      <w:r>
        <w:rPr>
          <w:rFonts w:hint="default" w:ascii="Calibri" w:hAnsi="Calibri" w:cs="Calibri"/>
          <w:b w:val="0"/>
          <w:bCs/>
        </w:rPr>
        <w:t>A Camada 2 (PMBOK® 6ª) opera com obsolescência assumida, restrita à função de dicionário de processos; métricas EVM são declaradas LEGADO conforme ADR-003. A seta pontilhada representa o fluxo de realimentação por lições aprendidas (EAP N9.2).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1.2.1 Hierarquia de Resolução de Conflitos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 caso de conflito entre fontes normativas, aplica-se a seguinte ordem de precedência: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Valor entregue ao usuário final (Domínio de Entrega — PMBOK 7ª)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Ementa da disciplina + orientação do Prof. Dr. Nivaldo Carleto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7ª edição (princípios e domínios)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Manifesto Ágil + Kanban (método de execução)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6ª edição (dicionário de processos)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Esta hierarquia favorece velocidade de entrega sobre completude documental, alinhada ao Princípio "Foco em Valor" (PMBOK 7ª) e ao Valor Ágil "Software funcionando sobre documentação abrangente".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1.2.2 Papéis de Governança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90"/>
        <w:gridCol w:w="2090"/>
        <w:gridCol w:w="46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Papel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Titular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Gerente de Projeto (GP)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David Silva Setti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Decisor operacional único; CCB de membro único; autoridade para aprovações, rejeições e controle de mudanças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Desenvolvedores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Fabricio de Lima Cabral, Edson Luis Silva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Execução técnica; revisão em pares; self-report de carga horária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Prof. Dr. Nivaldo Carleto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Avaliação acadêmica nos marcos M1–M4; sem ingerência em decisões operacionais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1.2.3 Governança Mínima Viável (GMV)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Todo artefato de governança deve justificar sua existência pelo teste GMV: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914"/>
        <w:gridCol w:w="1861"/>
        <w:gridCol w:w="219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Pergunta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SIM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NÃO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 Prof. Dr. Nivaldo Carleto exigirá este artefato na avaliação?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 completo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Simplificar ou eliminar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evita retrabalho futuro?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Avaliar custo-benefício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é útil para a equipe (não apenas para avaliação)?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Eliminar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≥ 2 respostas forem NÃO, o artefato é candidato a simplificação ou eliminação. Decisão final do GP.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1.2.4 Obsolescência do PMBOK 6ª (Declaração Formal)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PMBOK® 6ª edição (2017) é tratado exclusivamente como dicionário de processos. Processos preditivos são citados apenas para rastreabilidade acadêmica e blindagem terminológica. Métricas EVM (SPI/CPI) são declaradas </w:t>
      </w:r>
      <w:r>
        <w:rPr>
          <w:rFonts w:hint="default" w:ascii="Calibri" w:hAnsi="Calibri" w:cs="Calibri"/>
          <w:b/>
        </w:rPr>
        <w:t>LEGADO — NÃO APLICÁVEIS</w:t>
      </w:r>
      <w:r>
        <w:rPr>
          <w:rFonts w:hint="default" w:ascii="Calibri" w:hAnsi="Calibri" w:cs="Calibri"/>
        </w:rPr>
        <w:t>, substituídas por métricas de fluxo Kanban conforme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GitHub Projects como Fonte Única de Verdade (SSOT)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repositório GitHub e seu módulo GitHub Projects constituem o artefato primário de integração, cronograma e monitoramento, conforme ADR-002. Esta decisão substitui qualquer ferramenta preditiva de planejamento como instrumento ativo.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Justificativa:</w:t>
      </w:r>
      <w:r>
        <w:rPr>
          <w:rFonts w:hint="default" w:ascii="Calibri" w:hAnsi="Calibri" w:cs="Calibri"/>
        </w:rPr>
        <w:t xml:space="preserve"> Para uma equipe de 3 pessoas com fluxo contínuo, ferramentas preditivas impõem overhead de manutenção desproporcional ao valor gerado. O Kanban via GitHub Projects fornece visibilidade em tempo real, métricas nativas de fluxo e rastreabilidade automática via commits.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 + Trabalho do Projeto.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Ágil:</w:t>
      </w:r>
      <w:r>
        <w:rPr>
          <w:rFonts w:hint="default" w:ascii="Calibri" w:hAnsi="Calibri" w:cs="Calibri"/>
        </w:rPr>
        <w:t xml:space="preserve"> "Indivíduos e interações sobre processos e ferramentas."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1.3.1 Mapeamento Kanban ↔ Processos PMBOK 6ª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83"/>
        <w:gridCol w:w="2499"/>
        <w:gridCol w:w="1909"/>
        <w:gridCol w:w="267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Coluna Kanban (ADR-002)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Regra Operacional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Backlog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5.2 Coletar Requisitos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Planejamento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 criado com DoR pendente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Ready (DoR)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Trabalho (preparação)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DoR atendido; aguardando capacidade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 Progress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e Gerenciar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limit: máx. 3 cards/pessoa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Code Review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 Monitorar e Controlar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em pares obrigatória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Done (DoD)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5.4 Criar EAP (aceite do pacote)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DoD atendido; commit mergeado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br w:type="textWrapping"/>
      </w:r>
      <w:r>
        <w:rPr>
          <w:rFonts w:hint="default" w:ascii="Calibri" w:hAnsi="Calibri" w:cs="Calibri"/>
          <w:b/>
        </w:rPr>
        <w:t>Figura 2 — Fluxo Kanban oficial do projeto COGME com gates de qualidade e WIP limits</w:t>
      </w:r>
      <w:r>
        <w:rPr>
          <w:rFonts w:hint="default" w:ascii="Calibri" w:hAnsi="Calibri" w:cs="Calibri"/>
          <w:b/>
        </w:rPr>
        <w:drawing>
          <wp:inline distT="0" distB="0" distL="114300" distR="114300">
            <wp:extent cx="5459730" cy="3225165"/>
            <wp:effectExtent l="0" t="0" r="7620" b="13335"/>
            <wp:docPr id="3" name="Picture 3" descr="fig-02-fluxo-kanban.m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-02-fluxo-kanban.mm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/>
        </w:rPr>
        <w:br w:type="textWrapping"/>
      </w:r>
      <w:r>
        <w:rPr>
          <w:rFonts w:hint="default" w:ascii="Calibri" w:hAnsi="Calibri" w:cs="Calibri"/>
          <w:b/>
        </w:rPr>
        <w:t>Fonte: Elaborado pelos autores (2026).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Nota: </w:t>
      </w:r>
      <w:r>
        <w:rPr>
          <w:rFonts w:hint="default" w:ascii="Calibri" w:hAnsi="Calibri" w:cs="Calibri"/>
          <w:b w:val="0"/>
          <w:bCs/>
        </w:rPr>
        <w:t>Os quatro gates (hexágonos tracejados) materializam os critérios de DoR e DoD definidos no Plano de Escopo §2.6 e a regra de tasklist da ADR-004. Gate não atendido implica permanência do card na coluna anterior. O limite de WIP (3 cards/pessoa; máximo 9 no fluxo) visa à prevenção de burnout (TAP §10, R3). A linha pontilhada entre Code Review e In Progress representa o retorno por alterações solicitadas. Métricas de fluxo conforme ADR-003, com unidade de medida no card pai.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1.3.2 Regras de Fluxo e Rituais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Regras de fluxo (ADR-002 e ADR-004):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Pull system:</w:t>
      </w:r>
      <w:r>
        <w:rPr>
          <w:rFonts w:hint="default" w:ascii="Calibri" w:hAnsi="Calibri" w:cs="Calibri"/>
        </w:rPr>
        <w:t xml:space="preserve"> Cards migram para "In Progress" somente quando há capacidade disponível (WIP limit respeitado).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WIP limit:</w:t>
      </w:r>
      <w:r>
        <w:rPr>
          <w:rFonts w:hint="default" w:ascii="Calibri" w:hAnsi="Calibri" w:cs="Calibri"/>
        </w:rPr>
        <w:t xml:space="preserve"> 3 cards em "In Progress" por pessoa (Domínio de Equipe — prevenção de burnout, R3 do TAP §10).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Tasklists Markdown (ADR-004):</w:t>
      </w:r>
      <w:r>
        <w:rPr>
          <w:rFonts w:hint="default" w:ascii="Calibri" w:hAnsi="Calibri" w:cs="Calibri"/>
        </w:rPr>
        <w:t xml:space="preserve"> Cards com estimativa ≥ 6h ou múltiplos entregáveis devem possuir tasklist no corpo da Issue (mínimo 3, máximo 7 itens; último item obrigatoriamente "Validação final"). Subissues reais são </w:t>
      </w:r>
      <w:r>
        <w:rPr>
          <w:rFonts w:hint="default" w:ascii="Calibri" w:hAnsi="Calibri" w:cs="Calibri"/>
          <w:b/>
        </w:rPr>
        <w:t>formalmente rejeitadas</w:t>
      </w:r>
      <w:r>
        <w:rPr>
          <w:rFonts w:hint="default" w:ascii="Calibri" w:hAnsi="Calibri" w:cs="Calibri"/>
        </w:rPr>
        <w:t xml:space="preserve"> — a unidade atômica de métrica e de backlog permanece o card pai. O card só migra para Code Review com 100% dos itens concluídos.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SDD com LLM:</w:t>
      </w:r>
      <w:r>
        <w:rPr>
          <w:rFonts w:hint="default" w:ascii="Calibri" w:hAnsi="Calibri" w:cs="Calibri"/>
        </w:rPr>
        <w:t xml:space="preserve"> Código gerado com apoio de IA passa por revisão humana obrigatória antes do merge. Commits declaram co-autoria.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Rituais (ADR-002):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98"/>
        <w:gridCol w:w="3623"/>
        <w:gridCol w:w="1300"/>
        <w:gridCol w:w="114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Ritual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Formato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Cadência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Duração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Daily assíncrona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GitHub Issues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Refinement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Product Backlog (GitHub Projects)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Retrospectiva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Risk backlog + lições aprendidas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Quinzenal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Sprints time-boxed NÃO são utilizadas. O fluxo é contínuo (ADR-002).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1.3.3 Milestones e Identificação de Cards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SSOT opera sobre três mecanismos complementares de organização: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Milestones GitHub:</w:t>
      </w:r>
      <w:r>
        <w:rPr>
          <w:rFonts w:hint="default" w:ascii="Calibri" w:hAnsi="Calibri" w:cs="Calibri"/>
        </w:rPr>
        <w:t xml:space="preserve"> 5 milestones — M1 (22/09), M2 (30/09), Calibração (03/10, auxiliar), M3 (15/11), M4 (15/12). Cada Issue vincula-se a exatamente uma milestone; Issues sem milestone são backlog não planejado. Milestone não é fechada enquanto houver Issues abertas com label change-request ou blocked.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Sistema de tags:</w:t>
      </w:r>
      <w:r>
        <w:rPr>
          <w:rFonts w:hint="default" w:ascii="Calibri" w:hAnsi="Calibri" w:cs="Calibri"/>
        </w:rPr>
        <w:t xml:space="preserve"> Todo card porta no mínimo 3 labels (1 tipo + 1 macro-fase + 1 área de conhecimento), habilitando filtragem, métricas de fluxo por categoria (ADR-003) e rastreabilidade TAP → EAP → Card. A taxonomia completa (27 labels em 5 categorias) reside na configuração do repositório e não é replicada neste plano (GMV).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Padrão de redação (Card Ubíquo):</w:t>
      </w:r>
      <w:r>
        <w:rPr>
          <w:rFonts w:hint="default" w:ascii="Calibri" w:hAnsi="Calibri" w:cs="Calibri"/>
        </w:rPr>
        <w:t xml:space="preserve"> Todo card é autossuficiente — declara o quê, por quê, como será aceito e a quem pertence, sem exigir leitura de outro artefato. Cards documentais seguem o Padrão A (título N{X}.{Y} — Descrição, contexto ubíquo, critérios de aceite binários, rastreabilidade dupla); cards de produto seguem o Padrão B (User Story com critérios Given/When/Then), com aplicação efetiva a partir de M2. A prioridade temporal P0–P3 complementa a classificação MoSCoW (P0 = caminho crítico do marco; P3 = postergável).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Desenvolvimento e Manutenção do Plano de Gerenciamento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Os oito planos de área são versionados no repositório GitHub sob /docs/. Cada plano: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Inicia com frase de rastreabilidade ao TAP (Premissa + Restrição + Domínio PMBOK 7ª).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Possui extensão máxima de 4 páginas (princípio GMV).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É versionado via Conventional Commits: docs(plano-integracao): atualização §X.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Passa por revisão em pares antes de ser considerado "Done".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 de coerência cruzada:</w:t>
      </w:r>
      <w:r>
        <w:rPr>
          <w:rFonts w:hint="default" w:ascii="Calibri" w:hAnsi="Calibri" w:cs="Calibri"/>
        </w:rPr>
        <w:t xml:space="preserve"> Nenhum plano pode contradizer datas de marcos (M1–M4), premissas (P1–P8) ou restrições (§8) do TAP. Inconsistências detectadas em revisão acionam correção imediata antes do merge. A hierarquia de autoridade entre artefatos é: </w:t>
      </w:r>
      <w:r>
        <w:rPr>
          <w:rFonts w:hint="default" w:ascii="Calibri" w:hAnsi="Calibri" w:cs="Calibri"/>
          <w:b/>
        </w:rPr>
        <w:t>TAP &gt; base de conhecimento operacional &gt; Glossário &gt; ADRs</w:t>
      </w:r>
      <w:r>
        <w:rPr>
          <w:rFonts w:hint="default" w:ascii="Calibri" w:hAnsi="Calibri" w:cs="Calibri"/>
        </w:rPr>
        <w:t>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1.4.1 Estratégia de Entrega Faseada dos Planos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Conforme o princípio de Elaboração Progressiva (PMBOK 6ª, dicionário) e a Personalização/Tailoring da Abordagem de Desenvolvimento (PMBOK 7ª), a entrega dos planos de gerenciamento é faseada: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31"/>
        <w:gridCol w:w="3051"/>
        <w:gridCol w:w="418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Marco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Planos Entregues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M1 (22/09/2026)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Integração, Escopo, Cronograma, Custos, Qualidade (Áreas 1–5)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Fundação documental mínima viável; atendimento integral ao critério de aceite do TAP §6 para o M1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M2 (30/09/2026)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Recursos, Comunicações, Riscos (Áreas 6–8)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Redigidos após a calibração do fluxo Kanban (23/09–03/10), com dados empíricos de capacidade da equipe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Redução de ~30% da carga documental do M1, permitindo foco na qualidade dos cinco planos fundamentais e na configuração do SSOT. Decisão alinhada ao Domínio de Abordagem de Desenvolvimento e Ciclo de Vida (PMBOK 7ª) e ao princípio GMV (§1.2.3).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Orientação e Gestão do Trabalho do Projeto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4.3 — Orientar e Gerenciar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Trabalho do Projeto.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1.5.1 Execução Diária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Trabalho puxado do backlog conforme capacidade (pull system), respeitando a prioridade temporal P0–P3 e o WIP limit.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Cada card segue o padrão de redação ubíquo (§1.3.3): título padronizado (ex: N5.1 — Backend: Lógica de Negócio), labels obrigatórias, milestone vinculada, responsável e critérios de aceite binários.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Cards ≥ 6h portam tasklist Markdown conforme ADR-004 (§1.3.2).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Commits seguem Conventional Commits (feat, fix, docs, test, ci, chore).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1.5.2 Gestão do Conhecimento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4.4 — Gerenciar o Conhecimento do Projeto.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Estrutura de conhecimento: /docs/ no repositório (planos, diagramas, lições aprendidas, catálogo de prompts SDD).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registradas ao final de cada macro-fase (MF1, MF2, MF3).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Decisões que afetam ≥ 2 fases da EAP, envolvem troca de tecnologia ou seriam questionadas pelo Prof. Dr. Nivaldo Carleto em avaliação são formalmente registradas via </w:t>
      </w:r>
      <w:r>
        <w:rPr>
          <w:rFonts w:hint="default" w:ascii="Calibri" w:hAnsi="Calibri" w:cs="Calibri"/>
          <w:b/>
        </w:rPr>
        <w:t>ADR</w:t>
      </w:r>
      <w:r>
        <w:rPr>
          <w:rFonts w:hint="default" w:ascii="Calibri" w:hAnsi="Calibri" w:cs="Calibri"/>
        </w:rPr>
        <w:t xml:space="preserve"> (Architecture Decision Record), conforme REQ-12 e fase N9.1 da EAP. Decisões menores ficam em commit messages.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Monitoramento e Controle Integrado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4.5 — Monitorar e Controlar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1.6.1 Métricas de Fluxo Kanban (Oficiais — ADR-003)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Dada a restrição de orçamento zero (TAP §11), o Earned Value Management é inaplicável. As métricas de desempenho são exclusivamente baseadas no fluxo Kanban: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98"/>
        <w:gridCol w:w="3183"/>
        <w:gridCol w:w="2011"/>
        <w:gridCol w:w="147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Meta (pós-calibração)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Frequência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Cycle 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Tempo médio de um card do "In Progress" ao "Done"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3 dias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Throughput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concluídos por 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5 cards/semana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CFD (Cumulative Flow Diagram)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Visualização de gargalos no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 bandas largas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em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ativos em "In Progress"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9 (3 × 3 pessoas)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Contínuo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Linhas testadas / linhas totais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80%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push (CI)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(self-report)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Carga horária semanal declarada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20h/pessoa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Definição canônica do CFD (referência para os Planos de Cronograma e Comunicações):</w:t>
      </w:r>
      <w:r>
        <w:rPr>
          <w:rFonts w:hint="default" w:ascii="Calibri" w:hAnsi="Calibri" w:cs="Calibri"/>
        </w:rPr>
        <w:t xml:space="preserve"> O Cumulative Flow Diagram é a visualização gráfica do fluxo de trabalho acumulado no tempo, onde cada banda horizontal representa uma coluna do quadro Kanban e sua largura instantânea indica a quantidade de cards naquela etapa. Fonte de dados: GitHub Insights. Responsável pela publicação semanal: GP. </w:t>
      </w:r>
      <w:r>
        <w:rPr>
          <w:rFonts w:hint="default" w:ascii="Calibri" w:hAnsi="Calibri" w:cs="Calibri"/>
          <w:b/>
        </w:rPr>
        <w:t>CFD saudável:</w:t>
      </w:r>
      <w:r>
        <w:rPr>
          <w:rFonts w:hint="default" w:ascii="Calibri" w:hAnsi="Calibri" w:cs="Calibri"/>
        </w:rPr>
        <w:t xml:space="preserve"> bandas paralelas de largura constante. </w:t>
      </w:r>
      <w:r>
        <w:rPr>
          <w:rFonts w:hint="default" w:ascii="Calibri" w:hAnsi="Calibri" w:cs="Calibri"/>
          <w:b/>
        </w:rPr>
        <w:t>CFD com gargalo:</w:t>
      </w:r>
      <w:r>
        <w:rPr>
          <w:rFonts w:hint="default" w:ascii="Calibri" w:hAnsi="Calibri" w:cs="Calibri"/>
        </w:rPr>
        <w:t xml:space="preserve"> bandas que se alargam progressivamente. </w:t>
      </w:r>
      <w:r>
        <w:rPr>
          <w:rFonts w:hint="default" w:ascii="Calibri" w:hAnsi="Calibri" w:cs="Calibri"/>
          <w:b/>
        </w:rPr>
        <w:t>Ação corretiva:</w:t>
      </w:r>
      <w:r>
        <w:rPr>
          <w:rFonts w:hint="default" w:ascii="Calibri" w:hAnsi="Calibri" w:cs="Calibri"/>
        </w:rPr>
        <w:t xml:space="preserve"> banda com largura superior a 2× a média das demais por 2 semanas consecutivas aciona Retrospectiva extraordinária (ADR-002).</w:t>
      </w:r>
    </w:p>
    <w:p>
      <w:pPr>
        <w:ind w:left="284"/>
        <w:jc w:val="both"/>
        <w:rPr>
          <w:rFonts w:hint="default" w:ascii="Calibri" w:hAnsi="Calibri" w:cs="Calibri"/>
          <w:lang w:val="pt-BR"/>
        </w:rPr>
      </w:pPr>
      <w:r>
        <w:rPr>
          <w:rFonts w:hint="default" w:ascii="Calibri" w:hAnsi="Calibri" w:cs="Calibri"/>
          <w:b/>
        </w:rPr>
        <w:t>Figura 3 — Cumulative Flow Diagram: padrão saudável vs. padrão com gargalo</w:t>
      </w:r>
      <w:r>
        <w:rPr>
          <w:rFonts w:hint="default" w:ascii="Calibri" w:hAnsi="Calibri" w:cs="Calibri"/>
          <w:lang w:val="pt-BR"/>
        </w:rPr>
        <w:drawing>
          <wp:inline distT="0" distB="0" distL="114300" distR="114300">
            <wp:extent cx="5486400" cy="2171700"/>
            <wp:effectExtent l="0" t="0" r="0" b="0"/>
            <wp:docPr id="4" name="Picture 4" descr="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Calibri" w:hAnsi="Calibri" w:cs="Calibri"/>
          <w:lang w:val="pt-BR"/>
        </w:rPr>
      </w:pPr>
      <w:r>
        <w:rPr>
          <w:rFonts w:hint="default" w:ascii="Calibri" w:hAnsi="Calibri" w:cs="Calibri"/>
          <w:lang w:val="pt-BR"/>
        </w:rPr>
        <w:t>Fonte: Elaborado pelos autores (2026).</w:t>
      </w:r>
    </w:p>
    <w:p>
      <w:pPr>
        <w:pStyle w:val="4"/>
        <w:rPr>
          <w:rFonts w:hint="default" w:ascii="Calibri" w:hAnsi="Calibri" w:cs="Calibri"/>
          <w:b w:val="0"/>
          <w:bCs/>
        </w:rPr>
      </w:pPr>
      <w:r>
        <w:rPr>
          <w:rFonts w:hint="default" w:ascii="Calibri" w:hAnsi="Calibri" w:cs="Calibri"/>
          <w:lang w:val="pt-BR"/>
        </w:rPr>
        <w:t xml:space="preserve">Nota: </w:t>
      </w:r>
      <w:r>
        <w:rPr>
          <w:rFonts w:hint="default" w:ascii="Calibri" w:hAnsi="Calibri" w:cs="Calibri"/>
          <w:b w:val="0"/>
          <w:bCs/>
          <w:lang w:val="pt-BR"/>
        </w:rPr>
        <w:t>O painel (a) ilustra o fluxo estável, no qual as bandas (WIP por coluna) mantêm largura constante e paralela. O painel (b) apresenta a assinatura visual de gargalo na coluna Code Review: a taxa de saída torna-se inferior à taxa de entrada, causando alargamento progressivo da banda. A regra de ação corretiva (banda com largura superior a 2× a média das demais por 2 semanas consecutivas aciona Retrospectiva extraordinária) está anotada no próprio diagrama, conforme ADR-002 e ADR-003. Dados simulados para fins didáticos; a baseline real será coletada no período de calibração (23/09 a 03/10/2026) via GitHub Insights.</w:t>
      </w:r>
      <w:r>
        <w:rPr>
          <w:rFonts w:hint="default" w:ascii="Calibri" w:hAnsi="Calibri" w:cs="Calibri"/>
          <w:b w:val="0"/>
          <w:bCs/>
        </w:rPr>
        <w:t>1.6.2 Métricas Legado (Não Aplicáveis — ADR-003)</w:t>
      </w:r>
    </w:p>
    <w:p>
      <w:pPr>
        <w:rPr>
          <w:rFonts w:hint="default" w:ascii="Calibri" w:hAnsi="Calibri" w:cs="Calibri"/>
          <w:b w:val="0"/>
          <w:bCs/>
        </w:rPr>
      </w:pPr>
    </w:p>
    <w:p>
      <w:pPr>
        <w:rPr>
          <w:rFonts w:hint="default" w:ascii="Calibri" w:hAnsi="Calibri" w:cs="Calibri"/>
          <w:b w:val="0"/>
          <w:bCs/>
        </w:rPr>
      </w:pPr>
      <w:bookmarkStart w:id="0" w:name="_GoBack"/>
      <w:bookmarkEnd w:id="0"/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04"/>
        <w:gridCol w:w="1261"/>
        <w:gridCol w:w="460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SPI (Schedule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fluxo contínuo sem linha de base preditiva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CPI (Cost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orçamento zero (AC = 0)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EVM (Earned Value Management)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escopo emergente + orçamento nulo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1.6.3 Período de Calibração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 23/09/2026 a 03/10/2026, as métricas são coletadas sem meta fixa, estabelecendo a baseline empírica de desempenho real da equipe. Após calibração, metas são ajustadas com base na média observada ± 20% e formalizadas via ADR. A milestone auxiliar "Calibração" (03/10) rastreia este período no SSOT sem substituir o M2.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Abre-se mão da formalidade EVM em favor de métricas acionáveis e nativas do método, conforme Domínio de Medição (PMBOK 7ª) 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 Controle Integrado de Mudanças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4.6 — Realizar o Controle Integrado de Mudanças.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Incerteza.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1.7.1 Autoridade de Mudança (CCB)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Gerente de Projeto (Leonardo David Silva Setti) atua como Change Control Board (CCB) de membro único, com autoridade formal delegada pelo TAP (§1.b, §9 P7). O Prof. Dr. Nivaldo Carleto não participa do fluxo de aprovação de mudanças; sua atuação restringe-se à avaliação acadêmica nos marcos M1–M4.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1.7.2 Fluxo de Solicitação de Mudança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79"/>
        <w:gridCol w:w="3652"/>
        <w:gridCol w:w="2459"/>
        <w:gridCol w:w="198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Etapa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Abertura de GitHub Issue com label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Qualquer membro da 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Imediato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Análise de impacto (escopo, prazo, qualidade)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48h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Aprovação ou rejeição via comentário na Issue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análise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Atualização do backlog + planos afetados + commit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aprovação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[FIG-4 — Fluxo de Controle Integrado de Mudanças]</w:t>
      </w:r>
      <w:r>
        <w:rPr>
          <w:rFonts w:hint="default" w:ascii="Calibri" w:hAnsi="Calibri" w:cs="Calibri"/>
        </w:rPr>
        <w:t>Inserir diagrama aqui. Conteúdo obrigatório: fluxograma vertical com as 4 etapas da tabela acima, incluindo o losango de decisão na etapa 3 (Aprovada? → sim: etapa 4; não: encerramento com registro), os SLAs anotados em cada transição (≤ 48h, ≤ 24h, ≤ 24h) e a bifurcação da etapa 4 (mudança simples → commit; mudança de marco/escopo MVP → ADR + comunicação no marco subsequente). Formato sugerido: Mermaid flowchart TD. Necessidade real: o processo de mudança é o mecanismo mais auditado em avaliações PMBOK; o fluxograma torna o CCB de membro único defensável e verificável.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1.7.3 Limiar de Formalidade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NÃO alteram marcos (M1–M4) nem escopo do MVP:</w:t>
      </w:r>
      <w:r>
        <w:rPr>
          <w:rFonts w:hint="default" w:ascii="Calibri" w:hAnsi="Calibri" w:cs="Calibri"/>
        </w:rPr>
        <w:t xml:space="preserve"> Aprovadas pelo GP com registro em commit e comentário na Issue.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ALTERAM marcos ou escopo do MVP:</w:t>
      </w:r>
      <w:r>
        <w:rPr>
          <w:rFonts w:hint="default" w:ascii="Calibri" w:hAnsi="Calibri" w:cs="Calibri"/>
        </w:rPr>
        <w:t xml:space="preserve"> Aprovadas pelo GP com registro formal via ADR e comunicação ao Prof. Dr. Nivaldo Carleto no marco de avaliação subsequente.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 aplicado:</w:t>
      </w:r>
      <w:r>
        <w:rPr>
          <w:rFonts w:hint="default" w:ascii="Calibri" w:hAnsi="Calibri" w:cs="Calibri"/>
        </w:rPr>
        <w:t xml:space="preserve"> "Responder a mudanças sobre seguir um plano." O processo é leve, mas auditável.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 Encerramento do Projeto ou Fase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4.7 — Encerrar o Projeto ou Fase.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Entrega.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1.8.1 Critérios de Encerramento por Macro-Fase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3"/>
        <w:gridCol w:w="1685"/>
        <w:gridCol w:w="552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Macro-Fase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Período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Critério de Encerramento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MF1: Fundação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01/09 – 30/09/2026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TAP aprovado + 5 planos (Áreas 1–5) submetidos no M1 + 3 planos (Áreas 6–8) até o M2 + EAP sincronizada + Stack definida (ADR-001) + Ambiente e CI configurados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MF2: Construção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01/10 – 15/11/2026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funcional + ≥ 80% coverage + UAT aprovado + Pipeline CI verde + baseline de métricas calibrada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MF3: Consolidação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16/11 – 15/12/2026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Documentação consolidada + Apresentação final + Validação acadêmica no marco M4 + Tag de release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1.8.2 Encerramento Formal do Projeto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Tag de release final no repositório GitHub.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finais consolidadas.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Verificação dos cinco Objetivos SMART do TAP §3.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Validação acadêmica pelo Prof. Dr. Nivaldo Carleto no marco M4.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1.9 Condições de Fracasso e Escalation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Derivado do TAP §3.3 (Condições de Fracasso), os seguintes gatilhos acionam ação corretiva imediata pelo GP: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677"/>
        <w:gridCol w:w="529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Gatilho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Desvio &gt; 3 dias úteis em qualquer marco (M1–M4)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Issue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+ proposta de replanejamento + ADR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 &lt; 70% por 2 semanas consecutivas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de prioridade de testes + ajuste de escopo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detectado (&gt; 20h/semana por 2 semanas)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Redução de WIP + redistribuição de cards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Scope creep &gt; 15% do backlog original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Congelamento de novas features + CCB (GP)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Throughput &lt; 3 cards/semana por 2 semanas consecutivas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de WIP limits (fallback ADR-002) + reavaliação do escopo do MVP (fallback ADR-003)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não funcional em homologação até M3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Contingência técnica: redução de escopo não-crítico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Escalation ao Prof. Dr. Nivaldo Carleto ocorre apenas nos marcos de avaliação ou quando o GP identificar risco de não cumprimento dos critérios SMART do TAP §3.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1.10 Declaração de Rastreabilidade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07"/>
        <w:gridCol w:w="2357"/>
        <w:gridCol w:w="2541"/>
        <w:gridCol w:w="156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Origem no 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1.2 (Governança)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§1.c + 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Abordagem de Desenvolvimento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4.1, 4.2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1.3 (SSOT + Milestones + Cards)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 + §3 (Métricas)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 +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1.4.1 (Entrega Faseada)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§6 (Marcos M1/M2)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Abordagem de Desenvolvimento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1.5 (Orientação)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Premissas P3, P4,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 do Projeto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1.6 (Monitoramento)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 (Métricas) + §11 (Orçamento zero)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1.7 (Mudanças)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1.8 (Encerramento)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§6 (Marcos 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1.9 (Escalation)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§10 (Riscos)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4.5, 4.6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Verificação:</w:t>
      </w:r>
      <w:r>
        <w:rPr>
          <w:rFonts w:hint="default" w:ascii="Calibri" w:hAnsi="Calibri" w:cs="Calibri"/>
        </w:rPr>
        <w:t xml:space="preserve"> 100% das seções possuem rastreabilidade a ao menos uma premissa, restrição ou objetivo SMART do TAP.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1.11 Premissas e Restrições Aplicáveis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97"/>
        <w:gridCol w:w="3599"/>
        <w:gridCol w:w="37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Tipo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Referência 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Impacto neste Plano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híbrida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SDD com LLM autorizado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1.3.2 e 1.5.2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20h/semana por membro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1.3.2 e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Hardware adequado e suficiente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 (viabilidade local)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 único nos marcos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1.2.2 e 1.7.1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 letivo inegociável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1.4.1 e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Orçamento zero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1.6.2 (inaplicabilidade EVM)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Controle de Versões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0"/>
        <w:gridCol w:w="1479"/>
        <w:gridCol w:w="4865"/>
        <w:gridCol w:w="162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Versão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Alteração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19/09/2026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Emissão inicial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D. S. Setti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 faseada dos planos (§1.4.1); incorporação da ADR-004 (tasklists, §1.3.2); milestones, labels e padrão de cards ubíquos (§1.3.3); definição canônica do CFD (§1.6.1); gatilho de throughput (§1.9); critérios MF1 corrigidos (§1.8.1); 4 pontos de inserção de diagramas (FIG-1 a FIG-4)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D. S. Setti</w:t>
            </w:r>
          </w:p>
        </w:tc>
      </w:tr>
    </w:tbl>
    <w:p>
      <w:pPr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思源黑體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Inter">
    <w:panose1 w:val="02000503000000020004"/>
    <w:charset w:val="00"/>
    <w:family w:val="auto"/>
    <w:pitch w:val="default"/>
    <w:sig w:usb0="E0000AFF" w:usb1="5200A1F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E4323"/>
    <w:multiLevelType w:val="multilevel"/>
    <w:tmpl w:val="B97E432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B9A7D8DC"/>
    <w:multiLevelType w:val="multilevel"/>
    <w:tmpl w:val="B9A7D8DC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DA5F3F66"/>
    <w:multiLevelType w:val="multilevel"/>
    <w:tmpl w:val="DA5F3F6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E3BF13DD"/>
    <w:multiLevelType w:val="multilevel"/>
    <w:tmpl w:val="E3BF13D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F69AEFDE"/>
    <w:multiLevelType w:val="multilevel"/>
    <w:tmpl w:val="F69AEFD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F7B5CCF4"/>
    <w:multiLevelType w:val="multilevel"/>
    <w:tmpl w:val="F7B5CCF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FEF58C31"/>
    <w:multiLevelType w:val="multilevel"/>
    <w:tmpl w:val="FEF58C3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FF3E9763"/>
    <w:multiLevelType w:val="multilevel"/>
    <w:tmpl w:val="FF3E976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5CFF3D0C"/>
    <w:multiLevelType w:val="multilevel"/>
    <w:tmpl w:val="5CFF3D0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73BE30BE"/>
    <w:multiLevelType w:val="multilevel"/>
    <w:tmpl w:val="73BE30B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6F77FE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67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2026-09-19T20:12:32Z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