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Esta seção documenta os fatores considerados verdadeiros, reais ou certos para fins de planejamento do projeto COGME, conforme o Processo 4.1 (Desenvolver o Termo de Abertura do Projeto) do PMBOK®. Premissas são declarações de alto nível que, caso se provem falsas durante a execução, exigirão reavaliação imediata do escopo, cronograma ou custos do projeto, podendo acionar o processo formal de gestão de mudanças.</w:t>
      </w:r>
    </w:p>
    <w:p>
      <w:pPr>
        <w:pStyle w:val="3"/>
        <w:bidi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Premissas Estratégicas e Operacionais Fundamentais</w:t>
      </w:r>
    </w:p>
    <w:tbl>
      <w:tblPr>
        <w:tblStyle w:val="9"/>
        <w:tblW w:w="0" w:type="auto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autofit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513"/>
        <w:gridCol w:w="3259"/>
        <w:gridCol w:w="2611"/>
        <w:gridCol w:w="2587"/>
      </w:tblGrid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6DCE5" w:themeFill="text2" w:themeFillTint="32"/>
          </w:tcPr>
          <w:p>
            <w:pPr>
              <w:rPr>
                <w:rFonts w:hint="default" w:ascii="Calibri" w:hAnsi="Calibri" w:cs="Calibri"/>
                <w:b/>
                <w:bCs/>
                <w:sz w:val="18"/>
                <w:szCs w:val="18"/>
              </w:rPr>
            </w:pPr>
            <w:r>
              <w:rPr>
                <w:rFonts w:hint="default" w:ascii="Calibri" w:hAnsi="Calibri" w:cs="Calibri"/>
                <w:b/>
                <w:bCs/>
                <w:sz w:val="18"/>
                <w:szCs w:val="18"/>
              </w:rPr>
              <w:t>#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6DCE5" w:themeFill="text2" w:themeFillTint="32"/>
          </w:tcPr>
          <w:p>
            <w:pPr>
              <w:rPr>
                <w:rFonts w:hint="default" w:ascii="Calibri" w:hAnsi="Calibri" w:cs="Calibri"/>
                <w:b/>
                <w:bCs/>
                <w:sz w:val="18"/>
                <w:szCs w:val="18"/>
              </w:rPr>
            </w:pPr>
            <w:r>
              <w:rPr>
                <w:rFonts w:hint="default" w:ascii="Calibri" w:hAnsi="Calibri" w:cs="Calibri"/>
                <w:b/>
                <w:bCs/>
                <w:sz w:val="18"/>
                <w:szCs w:val="18"/>
              </w:rPr>
              <w:t>Premissa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6DCE5" w:themeFill="text2" w:themeFillTint="32"/>
          </w:tcPr>
          <w:p>
            <w:pPr>
              <w:rPr>
                <w:rFonts w:hint="default" w:ascii="Calibri" w:hAnsi="Calibri" w:cs="Calibri"/>
                <w:b/>
                <w:bCs/>
                <w:sz w:val="18"/>
                <w:szCs w:val="18"/>
              </w:rPr>
            </w:pPr>
            <w:r>
              <w:rPr>
                <w:rFonts w:hint="default" w:ascii="Calibri" w:hAnsi="Calibri" w:cs="Calibri"/>
                <w:b/>
                <w:bCs/>
                <w:sz w:val="18"/>
                <w:szCs w:val="18"/>
              </w:rPr>
              <w:t>Justificativa de Alto Nível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6DCE5" w:themeFill="text2" w:themeFillTint="32"/>
          </w:tcPr>
          <w:p>
            <w:pPr>
              <w:rPr>
                <w:rFonts w:hint="default" w:ascii="Calibri" w:hAnsi="Calibri" w:cs="Calibri"/>
                <w:b/>
                <w:bCs/>
                <w:sz w:val="18"/>
                <w:szCs w:val="18"/>
              </w:rPr>
            </w:pPr>
            <w:r>
              <w:rPr>
                <w:rFonts w:hint="default" w:ascii="Calibri" w:hAnsi="Calibri" w:cs="Calibri"/>
                <w:b/>
                <w:bCs/>
                <w:sz w:val="18"/>
                <w:szCs w:val="18"/>
              </w:rPr>
              <w:t>Impacto se Invalidada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18"/>
                <w:szCs w:val="18"/>
              </w:rPr>
            </w:pPr>
            <w:r>
              <w:rPr>
                <w:rFonts w:hint="default" w:ascii="Calibri" w:hAnsi="Calibri" w:cs="Calibri"/>
                <w:b/>
                <w:sz w:val="18"/>
                <w:szCs w:val="18"/>
              </w:rPr>
              <w:t>P1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18"/>
                <w:szCs w:val="18"/>
              </w:rPr>
            </w:pPr>
            <w:r>
              <w:rPr>
                <w:rFonts w:hint="default" w:ascii="Calibri" w:hAnsi="Calibri" w:cs="Calibri"/>
                <w:b/>
                <w:sz w:val="18"/>
                <w:szCs w:val="18"/>
              </w:rPr>
              <w:t>A governança do projeto seguirá o modelo híbrido: PMBOK 7ª como base de princípios e domínios, com PMBOK 6ª atuando como dicionário de processos complementares, e Kanban como método de execução.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18"/>
                <w:szCs w:val="18"/>
              </w:rPr>
            </w:pPr>
            <w:r>
              <w:rPr>
                <w:rFonts w:hint="default" w:ascii="Calibri" w:hAnsi="Calibri" w:cs="Calibri"/>
                <w:sz w:val="18"/>
                <w:szCs w:val="18"/>
              </w:rPr>
              <w:t>Alinhamento com as diretrizes acadêmicas da disciplina e necessidade de adaptação a equipes enxutas.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18"/>
                <w:szCs w:val="18"/>
              </w:rPr>
            </w:pPr>
            <w:r>
              <w:rPr>
                <w:rFonts w:hint="default" w:ascii="Calibri" w:hAnsi="Calibri" w:cs="Calibri"/>
                <w:sz w:val="18"/>
                <w:szCs w:val="18"/>
              </w:rPr>
              <w:t>Exigência de retrabalho massivo na documentação para adequação a um modelo puramente preditivo (cascata), inviabilizando o prazo.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18"/>
                <w:szCs w:val="18"/>
              </w:rPr>
            </w:pPr>
            <w:r>
              <w:rPr>
                <w:rFonts w:hint="default" w:ascii="Calibri" w:hAnsi="Calibri" w:cs="Calibri"/>
                <w:b/>
                <w:sz w:val="18"/>
                <w:szCs w:val="18"/>
              </w:rPr>
              <w:t>P2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18"/>
                <w:szCs w:val="18"/>
              </w:rPr>
            </w:pPr>
            <w:r>
              <w:rPr>
                <w:rFonts w:hint="default" w:ascii="Calibri" w:hAnsi="Calibri" w:cs="Calibri"/>
                <w:b/>
                <w:sz w:val="18"/>
                <w:szCs w:val="18"/>
              </w:rPr>
              <w:t>O projeto será desenvolvido e entregue utilizando exclusivamente tecnologias de Software Livre e Código Aberto (FOSS).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18"/>
                <w:szCs w:val="18"/>
              </w:rPr>
            </w:pPr>
            <w:r>
              <w:rPr>
                <w:rFonts w:hint="default" w:ascii="Calibri" w:hAnsi="Calibri" w:cs="Calibri"/>
                <w:sz w:val="18"/>
                <w:szCs w:val="18"/>
              </w:rPr>
              <w:t>Premissa pedagógica e de valor social, garantindo auditabilidade, gratuidade e sustentabilidade do artefato final.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18"/>
                <w:szCs w:val="18"/>
              </w:rPr>
            </w:pPr>
            <w:r>
              <w:rPr>
                <w:rFonts w:hint="default" w:ascii="Calibri" w:hAnsi="Calibri" w:cs="Calibri"/>
                <w:sz w:val="18"/>
                <w:szCs w:val="18"/>
              </w:rPr>
              <w:t>Necessidade de aquisição de licenças, violando a restrição de orçamento zero e inviabilizando a entrega.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18"/>
                <w:szCs w:val="18"/>
              </w:rPr>
            </w:pPr>
            <w:r>
              <w:rPr>
                <w:rFonts w:hint="default" w:ascii="Calibri" w:hAnsi="Calibri" w:cs="Calibri"/>
                <w:b/>
                <w:sz w:val="18"/>
                <w:szCs w:val="18"/>
              </w:rPr>
              <w:t>P3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18"/>
                <w:szCs w:val="18"/>
              </w:rPr>
            </w:pPr>
            <w:r>
              <w:rPr>
                <w:rFonts w:hint="default" w:ascii="Calibri" w:hAnsi="Calibri" w:cs="Calibri"/>
                <w:b/>
                <w:sz w:val="18"/>
                <w:szCs w:val="18"/>
              </w:rPr>
              <w:t>O uso de Inteligência Artificial Generativa (LLMs) como ferramenta de apoio ao desenvolvimento (SDD) é autorizado e esperado, desde que com rastreabilidade e revisão humana.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18"/>
                <w:szCs w:val="18"/>
              </w:rPr>
            </w:pPr>
            <w:r>
              <w:rPr>
                <w:rFonts w:hint="default" w:ascii="Calibri" w:hAnsi="Calibri" w:cs="Calibri"/>
                <w:sz w:val="18"/>
                <w:szCs w:val="18"/>
              </w:rPr>
              <w:t>Reconhecimento das diretrizes acadêmicas atuais que permitem o uso ético e auditável de IA para potencializar a produtividade.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18"/>
                <w:szCs w:val="18"/>
              </w:rPr>
            </w:pPr>
            <w:r>
              <w:rPr>
                <w:rFonts w:hint="default" w:ascii="Calibri" w:hAnsi="Calibri" w:cs="Calibri"/>
                <w:sz w:val="18"/>
                <w:szCs w:val="18"/>
              </w:rPr>
              <w:t>Perda de produtividade da equipe e necessidade de reescrita manual de artefatos e código, comprometendo o cronograma.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18"/>
                <w:szCs w:val="18"/>
              </w:rPr>
            </w:pPr>
            <w:r>
              <w:rPr>
                <w:rFonts w:hint="default" w:ascii="Calibri" w:hAnsi="Calibri" w:cs="Calibri"/>
                <w:b/>
                <w:sz w:val="18"/>
                <w:szCs w:val="18"/>
              </w:rPr>
              <w:t>P4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18"/>
                <w:szCs w:val="18"/>
              </w:rPr>
            </w:pPr>
            <w:r>
              <w:rPr>
                <w:rFonts w:hint="default" w:ascii="Calibri" w:hAnsi="Calibri" w:cs="Calibri"/>
                <w:b/>
                <w:sz w:val="18"/>
                <w:szCs w:val="18"/>
              </w:rPr>
              <w:t>O código-fonte funcional (MVP full-stack) constitui um deliverable formal e parte integrante da documentação de sucesso do projeto, não apenas os artefatos textuais.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18"/>
                <w:szCs w:val="18"/>
              </w:rPr>
            </w:pPr>
            <w:r>
              <w:rPr>
                <w:rFonts w:hint="default" w:ascii="Calibri" w:hAnsi="Calibri" w:cs="Calibri"/>
                <w:sz w:val="18"/>
                <w:szCs w:val="18"/>
              </w:rPr>
              <w:t>Alinhamento com a natureza prática do curso de Análise e Desenvolvimento de Sistemas.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18"/>
                <w:szCs w:val="18"/>
              </w:rPr>
            </w:pPr>
            <w:r>
              <w:rPr>
                <w:rFonts w:hint="default" w:ascii="Calibri" w:hAnsi="Calibri" w:cs="Calibri"/>
                <w:sz w:val="18"/>
                <w:szCs w:val="18"/>
              </w:rPr>
              <w:t>O projeto seria considerado incompleto academicamente, mesmo com toda a documentação de gerenciamento perfeita.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18"/>
                <w:szCs w:val="18"/>
              </w:rPr>
            </w:pPr>
            <w:r>
              <w:rPr>
                <w:rFonts w:hint="default" w:ascii="Calibri" w:hAnsi="Calibri" w:cs="Calibri"/>
                <w:b/>
                <w:sz w:val="18"/>
                <w:szCs w:val="18"/>
              </w:rPr>
              <w:t>P5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18"/>
                <w:szCs w:val="18"/>
              </w:rPr>
            </w:pPr>
            <w:r>
              <w:rPr>
                <w:rFonts w:hint="default" w:ascii="Calibri" w:hAnsi="Calibri" w:cs="Calibri"/>
                <w:b/>
                <w:sz w:val="18"/>
                <w:szCs w:val="18"/>
              </w:rPr>
              <w:t>A equipe do projeto (2 membros) manterá uma disponibilidade média de até 20 horas semanais dedicadas ao projeto, conciliando com as demais atividades acadêmicas.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18"/>
                <w:szCs w:val="18"/>
              </w:rPr>
            </w:pPr>
            <w:r>
              <w:rPr>
                <w:rFonts w:hint="default" w:ascii="Calibri" w:hAnsi="Calibri" w:cs="Calibri"/>
                <w:sz w:val="18"/>
                <w:szCs w:val="18"/>
              </w:rPr>
              <w:t>Capacidade realística de alocação de recursos humanos para um projeto acadêmico noturno.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18"/>
                <w:szCs w:val="18"/>
              </w:rPr>
            </w:pPr>
            <w:r>
              <w:rPr>
                <w:rFonts w:hint="default" w:ascii="Calibri" w:hAnsi="Calibri" w:cs="Calibri"/>
                <w:sz w:val="18"/>
                <w:szCs w:val="18"/>
              </w:rPr>
              <w:t>Atraso crônico nas entregas, burnout da equipe e necessidade de redução drástica do escopo do MVP.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18"/>
                <w:szCs w:val="18"/>
              </w:rPr>
            </w:pPr>
            <w:r>
              <w:rPr>
                <w:rFonts w:hint="default" w:ascii="Calibri" w:hAnsi="Calibri" w:cs="Calibri"/>
                <w:b/>
                <w:sz w:val="18"/>
                <w:szCs w:val="18"/>
              </w:rPr>
              <w:t>P6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18"/>
                <w:szCs w:val="18"/>
              </w:rPr>
            </w:pPr>
            <w:r>
              <w:rPr>
                <w:rFonts w:hint="default" w:ascii="Calibri" w:hAnsi="Calibri" w:cs="Calibri"/>
                <w:b/>
                <w:sz w:val="18"/>
                <w:szCs w:val="18"/>
              </w:rPr>
              <w:t>O hardware local disponível para a equipe é adequado e suficiente para as tarefas de desenvolvimento, modelagem, testes e execução do MVP em ambiente local.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18"/>
                <w:szCs w:val="18"/>
              </w:rPr>
            </w:pPr>
            <w:r>
              <w:rPr>
                <w:rFonts w:hint="default" w:ascii="Calibri" w:hAnsi="Calibri" w:cs="Calibri"/>
                <w:sz w:val="18"/>
                <w:szCs w:val="18"/>
              </w:rPr>
              <w:t>Condição base para que o desenvolvimento ocorra sem dependência de infraestrutura de nuvem paga.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18"/>
                <w:szCs w:val="18"/>
              </w:rPr>
            </w:pPr>
            <w:r>
              <w:rPr>
                <w:rFonts w:hint="default" w:ascii="Calibri" w:hAnsi="Calibri" w:cs="Calibri"/>
                <w:sz w:val="18"/>
                <w:szCs w:val="18"/>
              </w:rPr>
              <w:t>Necessidade de migrar para ambientes de desenvolvimento em nuvem, gerando custos não previstos ou inviabilizando o trabalho.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18"/>
                <w:szCs w:val="18"/>
              </w:rPr>
            </w:pPr>
            <w:r>
              <w:rPr>
                <w:rFonts w:hint="default" w:ascii="Calibri" w:hAnsi="Calibri" w:cs="Calibri"/>
                <w:b/>
                <w:sz w:val="18"/>
                <w:szCs w:val="18"/>
              </w:rPr>
              <w:t>P7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18"/>
                <w:szCs w:val="18"/>
              </w:rPr>
            </w:pPr>
            <w:r>
              <w:rPr>
                <w:rFonts w:hint="default" w:ascii="Calibri" w:hAnsi="Calibri" w:cs="Calibri"/>
                <w:b/>
                <w:sz w:val="18"/>
                <w:szCs w:val="18"/>
              </w:rPr>
              <w:t>O Professor Orientador atua como o único stakeholder formal com poder de aprovação (Patrocinador e Avaliador), simplificando os processos de comunicação e gestão de mudanças.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18"/>
                <w:szCs w:val="18"/>
              </w:rPr>
            </w:pPr>
            <w:r>
              <w:rPr>
                <w:rFonts w:hint="default" w:ascii="Calibri" w:hAnsi="Calibri" w:cs="Calibri"/>
                <w:sz w:val="18"/>
                <w:szCs w:val="18"/>
              </w:rPr>
              <w:t>Premissa de simplificação pedagógica, focando o esforço de gerenciamento no valor entregue e não em burocracia de múltiplos aprovadores.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18"/>
                <w:szCs w:val="18"/>
              </w:rPr>
            </w:pPr>
            <w:r>
              <w:rPr>
                <w:rFonts w:hint="default" w:ascii="Calibri" w:hAnsi="Calibri" w:cs="Calibri"/>
                <w:sz w:val="18"/>
                <w:szCs w:val="18"/>
              </w:rPr>
              <w:t>Aumento exponencial da complexidade de comunicação e do tempo de ciclo para aprovações de mudanças.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18"/>
                <w:szCs w:val="18"/>
              </w:rPr>
            </w:pPr>
            <w:r>
              <w:rPr>
                <w:rFonts w:hint="default" w:ascii="Calibri" w:hAnsi="Calibri" w:cs="Calibri"/>
                <w:b/>
                <w:sz w:val="18"/>
                <w:szCs w:val="18"/>
              </w:rPr>
              <w:t>P8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18"/>
                <w:szCs w:val="18"/>
              </w:rPr>
            </w:pPr>
            <w:r>
              <w:rPr>
                <w:rFonts w:hint="default" w:ascii="Calibri" w:hAnsi="Calibri" w:cs="Calibri"/>
                <w:b/>
                <w:sz w:val="18"/>
                <w:szCs w:val="18"/>
              </w:rPr>
              <w:t>As áreas de conhecimento de "Aquisições" e "Gerenciamento das Partes Interessadas" serão tratadas com simplificação pedagógica, conforme permitido pelo escopo acadêmico.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18"/>
                <w:szCs w:val="18"/>
              </w:rPr>
            </w:pPr>
            <w:r>
              <w:rPr>
                <w:rFonts w:hint="default" w:ascii="Calibri" w:hAnsi="Calibri" w:cs="Calibri"/>
                <w:sz w:val="18"/>
                <w:szCs w:val="18"/>
              </w:rPr>
              <w:t>Foco do projeto nas 8 áreas de conhecimento restantes, otimizando o tempo da equipe para o desenvolvimento do produto.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18"/>
                <w:szCs w:val="18"/>
              </w:rPr>
            </w:pPr>
            <w:r>
              <w:rPr>
                <w:rFonts w:hint="default" w:ascii="Calibri" w:hAnsi="Calibri" w:cs="Calibri"/>
                <w:sz w:val="18"/>
                <w:szCs w:val="18"/>
              </w:rPr>
              <w:t>Exigência de planos de aquisição complexos para um projeto de orçamento zero, desviando o foco do produto.</w:t>
            </w:r>
          </w:p>
        </w:tc>
      </w:tr>
    </w:tbl>
    <w:p>
      <w:pPr>
        <w:rPr>
          <w:rFonts w:hint="default" w:ascii="Calibri" w:hAnsi="Calibri" w:cs="Calibri"/>
          <w:sz w:val="20"/>
          <w:szCs w:val="20"/>
        </w:rPr>
      </w:pPr>
    </w:p>
    <w:p>
      <w:pPr>
        <w:pStyle w:val="3"/>
        <w:bidi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Declaração de Rastreabilidade das Premissas</w:t>
      </w:r>
    </w:p>
    <w:tbl>
      <w:tblPr>
        <w:tblStyle w:val="9"/>
        <w:tblW w:w="0" w:type="auto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autofit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1049"/>
        <w:gridCol w:w="3819"/>
        <w:gridCol w:w="3682"/>
      </w:tblGrid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6DCE5" w:themeFill="text2" w:themeFillTint="32"/>
          </w:tcPr>
          <w:p>
            <w:pPr>
              <w:rPr>
                <w:rFonts w:hint="default" w:ascii="Calibri" w:hAnsi="Calibri" w:cs="Calibri"/>
                <w:b/>
                <w:bCs/>
                <w:sz w:val="18"/>
                <w:szCs w:val="18"/>
              </w:rPr>
            </w:pPr>
            <w:r>
              <w:rPr>
                <w:rFonts w:hint="default" w:ascii="Calibri" w:hAnsi="Calibri" w:cs="Calibri"/>
                <w:b/>
                <w:bCs/>
                <w:sz w:val="18"/>
                <w:szCs w:val="18"/>
              </w:rPr>
              <w:t>Premissa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6DCE5" w:themeFill="text2" w:themeFillTint="32"/>
          </w:tcPr>
          <w:p>
            <w:pPr>
              <w:rPr>
                <w:rFonts w:hint="default" w:ascii="Calibri" w:hAnsi="Calibri" w:cs="Calibri"/>
                <w:b/>
                <w:bCs/>
                <w:sz w:val="18"/>
                <w:szCs w:val="18"/>
              </w:rPr>
            </w:pPr>
            <w:r>
              <w:rPr>
                <w:rFonts w:hint="default" w:ascii="Calibri" w:hAnsi="Calibri" w:cs="Calibri"/>
                <w:b/>
                <w:bCs/>
                <w:sz w:val="18"/>
                <w:szCs w:val="18"/>
              </w:rPr>
              <w:t>Domínio de Desempenho (PMBOK 7ª)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6DCE5" w:themeFill="text2" w:themeFillTint="32"/>
          </w:tcPr>
          <w:p>
            <w:pPr>
              <w:rPr>
                <w:rFonts w:hint="default" w:ascii="Calibri" w:hAnsi="Calibri" w:cs="Calibri"/>
                <w:b/>
                <w:bCs/>
                <w:sz w:val="18"/>
                <w:szCs w:val="18"/>
              </w:rPr>
            </w:pPr>
            <w:r>
              <w:rPr>
                <w:rFonts w:hint="default" w:ascii="Calibri" w:hAnsi="Calibri" w:cs="Calibri"/>
                <w:b/>
                <w:bCs/>
                <w:sz w:val="18"/>
                <w:szCs w:val="18"/>
              </w:rPr>
              <w:t>Artefato de Detalhamento (Pós-TAP)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18"/>
                <w:szCs w:val="18"/>
              </w:rPr>
            </w:pPr>
            <w:r>
              <w:rPr>
                <w:rFonts w:hint="default" w:ascii="Calibri" w:hAnsi="Calibri" w:cs="Calibri"/>
                <w:sz w:val="18"/>
                <w:szCs w:val="18"/>
              </w:rPr>
              <w:t>P1, P7, P8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18"/>
                <w:szCs w:val="18"/>
              </w:rPr>
            </w:pPr>
            <w:r>
              <w:rPr>
                <w:rFonts w:hint="default" w:ascii="Calibri" w:hAnsi="Calibri" w:cs="Calibri"/>
                <w:sz w:val="18"/>
                <w:szCs w:val="18"/>
              </w:rPr>
              <w:t>Abordagem de Desenvolvimento / Stakeholders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18"/>
                <w:szCs w:val="18"/>
              </w:rPr>
            </w:pPr>
            <w:r>
              <w:rPr>
                <w:rFonts w:hint="default" w:ascii="Calibri" w:hAnsi="Calibri" w:cs="Calibri"/>
                <w:sz w:val="18"/>
                <w:szCs w:val="18"/>
              </w:rPr>
              <w:t>Plano de Integração / Plano de Comunicações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18"/>
                <w:szCs w:val="18"/>
              </w:rPr>
            </w:pPr>
            <w:r>
              <w:rPr>
                <w:rFonts w:hint="default" w:ascii="Calibri" w:hAnsi="Calibri" w:cs="Calibri"/>
                <w:sz w:val="18"/>
                <w:szCs w:val="18"/>
              </w:rPr>
              <w:t>P2, P6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18"/>
                <w:szCs w:val="18"/>
              </w:rPr>
            </w:pPr>
            <w:r>
              <w:rPr>
                <w:rFonts w:hint="default" w:ascii="Calibri" w:hAnsi="Calibri" w:cs="Calibri"/>
                <w:sz w:val="18"/>
                <w:szCs w:val="18"/>
              </w:rPr>
              <w:t>Abordagem de Desenvolvimento / Recursos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18"/>
                <w:szCs w:val="18"/>
              </w:rPr>
            </w:pPr>
            <w:r>
              <w:rPr>
                <w:rFonts w:hint="default" w:ascii="Calibri" w:hAnsi="Calibri" w:cs="Calibri"/>
                <w:sz w:val="18"/>
                <w:szCs w:val="18"/>
              </w:rPr>
              <w:t>ADR de Stack Tecnológica / Plano de Recursos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18"/>
                <w:szCs w:val="18"/>
              </w:rPr>
            </w:pPr>
            <w:r>
              <w:rPr>
                <w:rFonts w:hint="default" w:ascii="Calibri" w:hAnsi="Calibri" w:cs="Calibri"/>
                <w:sz w:val="18"/>
                <w:szCs w:val="18"/>
              </w:rPr>
              <w:t>P3, P4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18"/>
                <w:szCs w:val="18"/>
              </w:rPr>
            </w:pPr>
            <w:r>
              <w:rPr>
                <w:rFonts w:hint="default" w:ascii="Calibri" w:hAnsi="Calibri" w:cs="Calibri"/>
                <w:sz w:val="18"/>
                <w:szCs w:val="18"/>
              </w:rPr>
              <w:t>Trabalho do Projeto / Entrega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18"/>
                <w:szCs w:val="18"/>
              </w:rPr>
            </w:pPr>
            <w:r>
              <w:rPr>
                <w:rFonts w:hint="default" w:ascii="Calibri" w:hAnsi="Calibri" w:cs="Calibri"/>
                <w:sz w:val="18"/>
                <w:szCs w:val="18"/>
              </w:rPr>
              <w:t>Base de Conhecimento (ADRs e Prompts)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18"/>
                <w:szCs w:val="18"/>
              </w:rPr>
            </w:pPr>
            <w:r>
              <w:rPr>
                <w:rFonts w:hint="default" w:ascii="Calibri" w:hAnsi="Calibri" w:cs="Calibri"/>
                <w:sz w:val="18"/>
                <w:szCs w:val="18"/>
              </w:rPr>
              <w:t>P5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18"/>
                <w:szCs w:val="18"/>
              </w:rPr>
            </w:pPr>
            <w:r>
              <w:rPr>
                <w:rFonts w:hint="default" w:ascii="Calibri" w:hAnsi="Calibri" w:cs="Calibri"/>
                <w:sz w:val="18"/>
                <w:szCs w:val="18"/>
              </w:rPr>
              <w:t>Equipe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18"/>
                <w:szCs w:val="18"/>
              </w:rPr>
            </w:pPr>
            <w:r>
              <w:rPr>
                <w:rFonts w:hint="default" w:ascii="Calibri" w:hAnsi="Calibri" w:cs="Calibri"/>
                <w:sz w:val="18"/>
                <w:szCs w:val="18"/>
              </w:rPr>
              <w:t>Plano de Recursos (RACI simplificado)</w:t>
            </w:r>
          </w:p>
        </w:tc>
      </w:tr>
    </w:tbl>
    <w:p>
      <w:pPr>
        <w:rPr>
          <w:rFonts w:hint="default" w:ascii="Calibri" w:hAnsi="Calibri" w:cs="Calibri"/>
          <w:sz w:val="20"/>
          <w:szCs w:val="20"/>
        </w:rPr>
      </w:pPr>
      <w:bookmarkStart w:id="0" w:name="_GoBack"/>
      <w:bookmarkEnd w:id="0"/>
    </w:p>
    <w:sectPr>
      <w:pgSz w:w="12240" w:h="15840"/>
      <w:pgMar w:top="1440" w:right="1800" w:bottom="1440" w:left="1800" w:header="720" w:footer="720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方正书宋_GB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方正书宋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方正黑体_GB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方正黑体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Courier New">
    <w:panose1 w:val="02070309020205020404"/>
    <w:charset w:val="00"/>
    <w:family w:val="modern"/>
    <w:pitch w:val="default"/>
    <w:sig w:usb0="00007A87" w:usb1="80000000" w:usb2="00000008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SimSun">
    <w:altName w:val="方正书宋_GBK"/>
    <w:panose1 w:val="02010600030101010101"/>
    <w:charset w:val="86"/>
    <w:family w:val="auto"/>
    <w:pitch w:val="default"/>
    <w:sig w:usb0="00000000" w:usb1="0000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documentProtection w:enforcement="0"/>
  <w:defaultTabStop w:val="720"/>
  <w:compat>
    <w:splitPgBreakAndParaMark/>
    <w:compatSetting w:name="compatibilityMode" w:uri="http://schemas.microsoft.com/office/word" w:val="12"/>
  </w:compat>
  <w:rsids>
    <w:rsidRoot w:val="00000000"/>
    <w:rsid w:val="7FE1D8F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next w:val="1"/>
    <w:qFormat/>
    <w:uiPriority w:val="9"/>
    <w:pPr>
      <w:keepNext/>
      <w:keepLines/>
      <w:spacing w:before="480" w:after="120" w:line="240" w:lineRule="atLeast"/>
      <w:outlineLvl w:val="0"/>
    </w:pPr>
    <w:rPr>
      <w:rFonts w:ascii="Times New Roman" w:hAnsiTheme="minorHAnsi" w:eastAsiaTheme="minorHAnsi" w:cstheme="minorBidi"/>
      <w:b/>
      <w:sz w:val="48"/>
      <w:szCs w:val="48"/>
      <w:lang w:val="en-US" w:eastAsia="en-US" w:bidi="ar-SA"/>
    </w:rPr>
  </w:style>
  <w:style w:type="paragraph" w:styleId="3">
    <w:name w:val="heading 2"/>
    <w:next w:val="1"/>
    <w:unhideWhenUsed/>
    <w:qFormat/>
    <w:uiPriority w:val="9"/>
    <w:pPr>
      <w:keepNext/>
      <w:keepLines/>
      <w:spacing w:before="360" w:after="80" w:line="240" w:lineRule="atLeast"/>
      <w:outlineLvl w:val="1"/>
    </w:pPr>
    <w:rPr>
      <w:rFonts w:ascii="Times New Roman" w:hAnsiTheme="minorHAnsi" w:eastAsiaTheme="minorHAnsi" w:cstheme="minorBidi"/>
      <w:b/>
      <w:sz w:val="36"/>
      <w:szCs w:val="36"/>
      <w:lang w:val="en-US" w:eastAsia="en-US" w:bidi="ar-SA"/>
    </w:rPr>
  </w:style>
  <w:style w:type="paragraph" w:styleId="4">
    <w:name w:val="heading 3"/>
    <w:next w:val="1"/>
    <w:semiHidden/>
    <w:unhideWhenUsed/>
    <w:qFormat/>
    <w:uiPriority w:val="9"/>
    <w:pPr>
      <w:keepNext/>
      <w:keepLines/>
      <w:spacing w:before="280" w:after="80" w:line="240" w:lineRule="atLeast"/>
      <w:outlineLvl w:val="2"/>
    </w:pPr>
    <w:rPr>
      <w:rFonts w:ascii="Times New Roman" w:hAnsiTheme="minorHAnsi" w:eastAsiaTheme="minorHAnsi" w:cstheme="minorBidi"/>
      <w:b/>
      <w:sz w:val="28"/>
      <w:szCs w:val="28"/>
      <w:lang w:val="en-US" w:eastAsia="en-US" w:bidi="ar-SA"/>
    </w:rPr>
  </w:style>
  <w:style w:type="paragraph" w:styleId="5">
    <w:name w:val="heading 4"/>
    <w:next w:val="1"/>
    <w:semiHidden/>
    <w:unhideWhenUsed/>
    <w:qFormat/>
    <w:uiPriority w:val="9"/>
    <w:pPr>
      <w:keepNext/>
      <w:keepLines/>
      <w:spacing w:before="240" w:after="40" w:line="240" w:lineRule="atLeast"/>
      <w:outlineLvl w:val="3"/>
    </w:pPr>
    <w:rPr>
      <w:rFonts w:ascii="Times New Roman" w:hAnsiTheme="minorHAnsi" w:eastAsiaTheme="minorHAnsi" w:cstheme="minorBidi"/>
      <w:b/>
      <w:sz w:val="24"/>
      <w:szCs w:val="24"/>
      <w:lang w:val="en-US" w:eastAsia="en-US" w:bidi="ar-SA"/>
    </w:rPr>
  </w:style>
  <w:style w:type="paragraph" w:styleId="6">
    <w:name w:val="heading 5"/>
    <w:next w:val="1"/>
    <w:semiHidden/>
    <w:unhideWhenUsed/>
    <w:qFormat/>
    <w:uiPriority w:val="9"/>
    <w:pPr>
      <w:keepNext/>
      <w:keepLines/>
      <w:spacing w:before="220" w:after="40" w:line="240" w:lineRule="atLeast"/>
      <w:outlineLvl w:val="4"/>
    </w:pPr>
    <w:rPr>
      <w:rFonts w:ascii="Times New Roman" w:hAnsiTheme="minorHAnsi" w:eastAsiaTheme="minorHAnsi" w:cstheme="minorBidi"/>
      <w:b/>
      <w:sz w:val="24"/>
      <w:szCs w:val="24"/>
      <w:lang w:val="en-US" w:eastAsia="en-US" w:bidi="ar-SA"/>
    </w:rPr>
  </w:style>
  <w:style w:type="paragraph" w:styleId="7">
    <w:name w:val="heading 6"/>
    <w:next w:val="1"/>
    <w:semiHidden/>
    <w:unhideWhenUsed/>
    <w:qFormat/>
    <w:uiPriority w:val="9"/>
    <w:pPr>
      <w:keepNext/>
      <w:keepLines/>
      <w:spacing w:before="200" w:after="40" w:line="240" w:lineRule="atLeast"/>
      <w:outlineLvl w:val="5"/>
    </w:pPr>
    <w:rPr>
      <w:rFonts w:ascii="Times New Roman" w:hAnsiTheme="minorHAnsi" w:eastAsiaTheme="minorHAnsi" w:cstheme="minorBidi"/>
      <w:b/>
      <w:sz w:val="20"/>
      <w:szCs w:val="20"/>
      <w:lang w:val="en-US" w:eastAsia="en-US" w:bidi="ar-SA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yperlink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otalTime>1</TotalTime>
  <ScaleCrop>false</ScaleCrop>
  <LinksUpToDate>false</LinksUpToDate>
  <Application>WPS Office_11.1.0.11723_F1E327BC-269C-435d-A152-05C5408002CA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1900-01-00T00:00:00Z</dcterms:created>
  <dc:creator>html-to-docx</dc:creator>
  <cp:keywords>html-to-docx</cp:keywords>
  <cp:lastModifiedBy>leonardo</cp:lastModifiedBy>
  <dcterms:modified xsi:type="dcterms:W3CDTF">2026-09-16T15:39:21Z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