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Esta seção documenta os principais riscos de alto nível identificados no projeto COGME, conforme o Processo 11.1 (Identificar Riscos) do PMBOK® 6ª edição e o Domínio de Incerteza do PMBOK® 7ª edição. Riscos são eventos ou condições incertas que, caso ocorram, podem impactar positiva ou negativamente os objetivos do projeto. Esta seção apresenta uma visão estratégica dos riscos; o detalhamento operacional (matriz completa, planos de contingência, gatilhos de resposta) será tratado no </w:t>
      </w:r>
      <w:r>
        <w:rPr>
          <w:rFonts w:hint="default" w:ascii="Calibri" w:hAnsi="Calibri" w:cs="Calibri"/>
          <w:b/>
          <w:sz w:val="20"/>
          <w:szCs w:val="20"/>
        </w:rPr>
        <w:t>Plano de Riscos (§08 da árvore documental)</w:t>
      </w:r>
      <w:r>
        <w:rPr>
          <w:rFonts w:hint="default" w:ascii="Calibri" w:hAnsi="Calibri" w:cs="Calibri"/>
          <w:sz w:val="20"/>
          <w:szCs w:val="20"/>
        </w:rPr>
        <w:t>.</w:t>
      </w:r>
    </w:p>
    <w:p>
      <w:pPr>
        <w:rPr>
          <w:rFonts w:hint="default" w:ascii="Calibri" w:hAnsi="Calibri" w:cs="Calibri"/>
          <w:b/>
          <w:sz w:val="20"/>
          <w:szCs w:val="20"/>
        </w:rPr>
      </w:pPr>
    </w:p>
    <w:p>
      <w:p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b/>
          <w:sz w:val="20"/>
          <w:szCs w:val="20"/>
        </w:rPr>
        <w:t>Regra de consistência:</w:t>
      </w:r>
      <w:r>
        <w:rPr>
          <w:rFonts w:hint="default" w:ascii="Calibri" w:hAnsi="Calibri" w:cs="Calibri"/>
          <w:sz w:val="20"/>
          <w:szCs w:val="20"/>
        </w:rPr>
        <w:t xml:space="preserve"> Todo risco deve possuir </w:t>
      </w:r>
    </w:p>
    <w:p>
      <w:pPr>
        <w:numPr>
          <w:ilvl w:val="0"/>
          <w:numId w:val="1"/>
        </w:num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descrição clara do evento incerto, </w:t>
      </w:r>
    </w:p>
    <w:p>
      <w:pPr>
        <w:numPr>
          <w:ilvl w:val="0"/>
          <w:numId w:val="1"/>
        </w:num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probabilidade e impacto estimados, </w:t>
      </w:r>
    </w:p>
    <w:p>
      <w:pPr>
        <w:numPr>
          <w:ilvl w:val="0"/>
          <w:numId w:val="1"/>
        </w:num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severidade consolidada, </w:t>
      </w:r>
    </w:p>
    <w:p>
      <w:pPr>
        <w:numPr>
          <w:ilvl w:val="0"/>
          <w:numId w:val="1"/>
        </w:num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 xml:space="preserve">estratégia de resposta de alto nível, e </w:t>
      </w:r>
    </w:p>
    <w:p>
      <w:pPr>
        <w:numPr>
          <w:ilvl w:val="0"/>
          <w:numId w:val="1"/>
        </w:num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sz w:val="20"/>
          <w:szCs w:val="20"/>
        </w:rPr>
        <w:t>rastreabilidade aos Objetivos SMART do TAP §3.</w:t>
      </w:r>
    </w:p>
    <w:p>
      <w:pPr>
        <w:pStyle w:val="3"/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Principais Riscos de Alto Nível</w:t>
      </w:r>
    </w:p>
    <w:tbl>
      <w:tblPr>
        <w:tblStyle w:val="9"/>
        <w:tblW w:w="5147" w:type="pct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678"/>
        <w:gridCol w:w="2040"/>
        <w:gridCol w:w="1772"/>
        <w:gridCol w:w="1124"/>
        <w:gridCol w:w="1356"/>
        <w:gridCol w:w="2264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367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6DCE5" w:themeFill="text2" w:themeFillTint="32"/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ID</w:t>
            </w:r>
          </w:p>
        </w:tc>
        <w:tc>
          <w:tcPr>
            <w:tcW w:w="110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6DCE5" w:themeFill="text2" w:themeFillTint="32"/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Risco</w:t>
            </w:r>
          </w:p>
        </w:tc>
        <w:tc>
          <w:tcPr>
            <w:tcW w:w="95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6DCE5" w:themeFill="text2" w:themeFillTint="32"/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Probabilidade</w:t>
            </w:r>
          </w:p>
        </w:tc>
        <w:tc>
          <w:tcPr>
            <w:tcW w:w="608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6DCE5" w:themeFill="text2" w:themeFillTint="32"/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Impacto</w:t>
            </w:r>
          </w:p>
        </w:tc>
        <w:tc>
          <w:tcPr>
            <w:tcW w:w="73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6DCE5" w:themeFill="text2" w:themeFillTint="32"/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Severidade</w:t>
            </w:r>
          </w:p>
        </w:tc>
        <w:tc>
          <w:tcPr>
            <w:tcW w:w="122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6DCE5" w:themeFill="text2" w:themeFillTint="32"/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Estratégia de Resposta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367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sz w:val="18"/>
                <w:szCs w:val="18"/>
              </w:rPr>
              <w:t>R1</w:t>
            </w:r>
          </w:p>
        </w:tc>
        <w:tc>
          <w:tcPr>
            <w:tcW w:w="110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sz w:val="18"/>
                <w:szCs w:val="18"/>
              </w:rPr>
              <w:t>Entrega parcial (22/09/2026) não concluída no prazo</w:t>
            </w:r>
          </w:p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, comprometendo o marco de avaliação acadêmica e a transição para a MF2 (Construção).</w:t>
            </w:r>
          </w:p>
        </w:tc>
        <w:tc>
          <w:tcPr>
            <w:tcW w:w="95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Média (40%)</w:t>
            </w:r>
          </w:p>
        </w:tc>
        <w:tc>
          <w:tcPr>
            <w:tcW w:w="608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Alto</w:t>
            </w:r>
          </w:p>
        </w:tc>
        <w:tc>
          <w:tcPr>
            <w:tcW w:w="73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sz w:val="18"/>
                <w:szCs w:val="18"/>
              </w:rPr>
              <w:t>ALTA</w:t>
            </w:r>
          </w:p>
        </w:tc>
        <w:tc>
          <w:tcPr>
            <w:tcW w:w="122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sz w:val="18"/>
                <w:szCs w:val="18"/>
              </w:rPr>
              <w:t>Mitigar</w:t>
            </w:r>
          </w:p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: Aplicar princípio GMV (governança mínima viável) para priorizar artefatos obrigatórios; monitorar progresso semanalmente via GitHub Projects; acionar plano de contingência (redução de escopo não-crítico) se desvio &gt; 15%.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367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sz w:val="18"/>
                <w:szCs w:val="18"/>
              </w:rPr>
              <w:t>R2</w:t>
            </w:r>
          </w:p>
        </w:tc>
        <w:tc>
          <w:tcPr>
            <w:tcW w:w="110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sz w:val="18"/>
                <w:szCs w:val="18"/>
              </w:rPr>
              <w:t>Stack tecnológica FOSS selecionada apresentar instabilidade, incompatibilidade ou curva de aprendizado superior ao previsto</w:t>
            </w:r>
          </w:p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, impactando a Fase N5 (Desenvolvimento do Sistema) e o cronograma da MF2.</w:t>
            </w:r>
          </w:p>
        </w:tc>
        <w:tc>
          <w:tcPr>
            <w:tcW w:w="95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Baixa (25%)</w:t>
            </w:r>
          </w:p>
        </w:tc>
        <w:tc>
          <w:tcPr>
            <w:tcW w:w="608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Alto</w:t>
            </w:r>
          </w:p>
        </w:tc>
        <w:tc>
          <w:tcPr>
            <w:tcW w:w="73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sz w:val="18"/>
                <w:szCs w:val="18"/>
              </w:rPr>
              <w:t>ALTA</w:t>
            </w:r>
          </w:p>
        </w:tc>
        <w:tc>
          <w:tcPr>
            <w:tcW w:w="122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sz w:val="18"/>
                <w:szCs w:val="18"/>
              </w:rPr>
              <w:t>Mitigar</w:t>
            </w:r>
          </w:p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: Validar stack com protótipo "Hello World" antes da Fase N5 (Fase N4.1); manter alternativas FOSS equivalentes identificadas; documentar decisão via ADR-002 para rastreabilidade.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W w:w="367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sz w:val="18"/>
                <w:szCs w:val="18"/>
              </w:rPr>
              <w:t>R3</w:t>
            </w:r>
          </w:p>
        </w:tc>
        <w:tc>
          <w:tcPr>
            <w:tcW w:w="110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sz w:val="18"/>
                <w:szCs w:val="18"/>
              </w:rPr>
              <w:t>Sobrecarga da equipe (burnout)</w:t>
            </w:r>
          </w:p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 xml:space="preserve"> devido à acumulação de múltiplos papéis (gerência, desenvolvimento, testes, documentação) e conciliação com outras disciplinas, resultando em queda de produtividade ou afastamento temporário.</w:t>
            </w:r>
          </w:p>
        </w:tc>
        <w:tc>
          <w:tcPr>
            <w:tcW w:w="95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Média (50%)</w:t>
            </w:r>
          </w:p>
        </w:tc>
        <w:tc>
          <w:tcPr>
            <w:tcW w:w="608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Médio</w:t>
            </w:r>
          </w:p>
        </w:tc>
        <w:tc>
          <w:tcPr>
            <w:tcW w:w="73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sz w:val="18"/>
                <w:szCs w:val="18"/>
              </w:rPr>
              <w:t>ALTA</w:t>
            </w:r>
          </w:p>
        </w:tc>
        <w:tc>
          <w:tcPr>
            <w:tcW w:w="122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sz w:val="18"/>
                <w:szCs w:val="18"/>
              </w:rPr>
              <w:t>Mitigar</w:t>
            </w:r>
          </w:p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: Respeitar limite de 20h/semana por membro (Domínio de Equipe PMBOK 7ª); aplicar WIP limits no Kanban (máx. 3 cards em progresso por pessoa); monitorar métrica de burnout via self-report semanal.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367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sz w:val="18"/>
                <w:szCs w:val="18"/>
              </w:rPr>
              <w:t>R4</w:t>
            </w:r>
          </w:p>
        </w:tc>
        <w:tc>
          <w:tcPr>
            <w:tcW w:w="110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sz w:val="18"/>
                <w:szCs w:val="18"/>
              </w:rPr>
              <w:t>Cobertura de testes automatizados ficar abaixo da meta de 80%</w:t>
            </w:r>
          </w:p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, comprometendo o Critério de Qualidade (§3.2) e a confiabilidade do MVP entregue.</w:t>
            </w:r>
          </w:p>
        </w:tc>
        <w:tc>
          <w:tcPr>
            <w:tcW w:w="95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Média (45%)</w:t>
            </w:r>
          </w:p>
        </w:tc>
        <w:tc>
          <w:tcPr>
            <w:tcW w:w="608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Alto</w:t>
            </w:r>
          </w:p>
        </w:tc>
        <w:tc>
          <w:tcPr>
            <w:tcW w:w="73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sz w:val="18"/>
                <w:szCs w:val="18"/>
              </w:rPr>
              <w:t>ALTA</w:t>
            </w:r>
          </w:p>
        </w:tc>
        <w:tc>
          <w:tcPr>
            <w:tcW w:w="122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sz w:val="18"/>
                <w:szCs w:val="18"/>
              </w:rPr>
              <w:t>Mitigar</w:t>
            </w:r>
          </w:p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: Adotar abordagem TDD (Test-Driven Development) desde a Fase N5; integrar pipeline CI (Fase N7.1) com verificação automática de coverage; priorizar testes nos fluxos críticos (cálculo cambial, geração de PDF).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W w:w="367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sz w:val="18"/>
                <w:szCs w:val="18"/>
              </w:rPr>
              <w:t>R5</w:t>
            </w:r>
          </w:p>
        </w:tc>
        <w:tc>
          <w:tcPr>
            <w:tcW w:w="110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sz w:val="18"/>
                <w:szCs w:val="18"/>
              </w:rPr>
              <w:t>API externa de cotação cambial apresentar indisponibilidade, instabilidade ou alteração de política de uso</w:t>
            </w:r>
          </w:p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, bloqueando a funcionalidade central de simulação em tempo real (REQ-01).</w:t>
            </w:r>
          </w:p>
        </w:tc>
        <w:tc>
          <w:tcPr>
            <w:tcW w:w="959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Baixa (20%)</w:t>
            </w:r>
          </w:p>
        </w:tc>
        <w:tc>
          <w:tcPr>
            <w:tcW w:w="608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Alto</w:t>
            </w:r>
          </w:p>
        </w:tc>
        <w:tc>
          <w:tcPr>
            <w:tcW w:w="734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sz w:val="18"/>
                <w:szCs w:val="18"/>
              </w:rPr>
              <w:t>MÉDIA-ALTA</w:t>
            </w:r>
          </w:p>
        </w:tc>
        <w:tc>
          <w:tcPr>
            <w:tcW w:w="1225" w:type="pct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b/>
                <w:sz w:val="18"/>
                <w:szCs w:val="18"/>
              </w:rPr>
              <w:t>Mitigar</w:t>
            </w:r>
          </w:p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: Implementar adapter pattern para permitir troca de provedor; manter cache local de cotações (Fase N5.2) como fallback; documentar provedor selecionado via ADR-002.</w:t>
            </w:r>
          </w:p>
        </w:tc>
      </w:tr>
    </w:tbl>
    <w:p>
      <w:pPr>
        <w:pStyle w:val="5"/>
        <w:rPr>
          <w:rFonts w:hint="default" w:ascii="Calibri" w:hAnsi="Calibri" w:cs="Calibri"/>
          <w:sz w:val="20"/>
          <w:szCs w:val="20"/>
        </w:rPr>
      </w:pPr>
    </w:p>
    <w:p>
      <w:pPr>
        <w:pStyle w:val="3"/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Declaração de Rastreabilidade (Riscos → Objetivos SMART → EAP)</w:t>
      </w:r>
      <w:bookmarkStart w:id="0" w:name="_GoBack"/>
      <w:bookmarkEnd w:id="0"/>
    </w:p>
    <w:tbl>
      <w:tblPr>
        <w:tblStyle w:val="9"/>
        <w:tblW w:w="0" w:type="auto"/>
        <w:jc w:val="center"/>
        <w:tblCellSpacing w:w="0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one" w:color="auto" w:sz="0" w:space="0"/>
          <w:insideV w:val="none" w:color="auto" w:sz="0" w:space="0"/>
        </w:tblBorders>
        <w:tblLayout w:type="autofit"/>
        <w:tblCellMar>
          <w:top w:w="80" w:type="dxa"/>
          <w:left w:w="160" w:type="dxa"/>
          <w:bottom w:w="80" w:type="dxa"/>
          <w:right w:w="160" w:type="dxa"/>
        </w:tblCellMar>
      </w:tblPr>
      <w:tblGrid>
        <w:gridCol w:w="1427"/>
        <w:gridCol w:w="2411"/>
        <w:gridCol w:w="2999"/>
        <w:gridCol w:w="2133"/>
      </w:tblGrid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6DCE5" w:themeFill="text2" w:themeFillTint="32"/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Risco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6DCE5" w:themeFill="text2" w:themeFillTint="32"/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Objetivo SMART Afetado (TAP §3)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6DCE5" w:themeFill="text2" w:themeFillTint="32"/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Fases EAP v2.0 Relacionadas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D6DCE5" w:themeFill="text2" w:themeFillTint="32"/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Domínio PMBOK 7ª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R1 (Entrega parcial)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Cronograma (Marcos) — 22/09/2026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Macro-fase MF1 (todas as fases)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Abordagem de Desenvolvimento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R2 (Stack instável)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Produto (Escopo) — MVP funcional ≤ 3s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N4.1 (Seleção da Stack), N5 (Desenvolvimento)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Abordagem de Desenvolvimento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R3 (Burnout)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Inovação e Ferramentas — FOSS + SDD com IA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Todas as fases (transversal)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Equipe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R4 (Coverage &lt; 80%)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Qualidade e Testes — ≥ 80% coverage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N6.1 (Testes Unitários/Integração), N7.1 (Pipeline CI)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Medição</w:t>
            </w:r>
          </w:p>
        </w:tc>
      </w:tr>
      <w:tr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none" w:color="auto" w:sz="0" w:space="0"/>
            <w:insideV w:val="none" w:color="auto" w:sz="0" w:space="0"/>
          </w:tblBorders>
          <w:tblCellMar>
            <w:top w:w="80" w:type="dxa"/>
            <w:left w:w="160" w:type="dxa"/>
            <w:bottom w:w="80" w:type="dxa"/>
            <w:right w:w="160" w:type="dxa"/>
          </w:tblCellMar>
        </w:tblPrEx>
        <w:trPr>
          <w:tblCellSpacing w:w="0" w:type="dxa"/>
          <w:jc w:val="center"/>
        </w:trPr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R5 (API externa)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Produto (Escopo) — Simulação em tempo real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N5.2 (Backend — API de Câmbio + Cache)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</w:tcPr>
          <w:p>
            <w:pPr>
              <w:rPr>
                <w:rFonts w:hint="default" w:ascii="Calibri" w:hAnsi="Calibri" w:cs="Calibri"/>
                <w:sz w:val="18"/>
                <w:szCs w:val="18"/>
              </w:rPr>
            </w:pPr>
            <w:r>
              <w:rPr>
                <w:rFonts w:hint="default" w:ascii="Calibri" w:hAnsi="Calibri" w:cs="Calibri"/>
                <w:sz w:val="18"/>
                <w:szCs w:val="18"/>
              </w:rPr>
              <w:t>Incerteza</w:t>
            </w:r>
          </w:p>
        </w:tc>
      </w:tr>
    </w:tbl>
    <w:p>
      <w:pPr>
        <w:rPr>
          <w:rFonts w:hint="default" w:ascii="Calibri" w:hAnsi="Calibri" w:cs="Calibri"/>
          <w:sz w:val="20"/>
          <w:szCs w:val="20"/>
        </w:rPr>
      </w:pPr>
    </w:p>
    <w:p>
      <w:p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b/>
          <w:sz w:val="20"/>
          <w:szCs w:val="20"/>
        </w:rPr>
        <w:t>Verificação de completude:</w:t>
      </w:r>
      <w:r>
        <w:rPr>
          <w:rFonts w:hint="default" w:ascii="Calibri" w:hAnsi="Calibri" w:cs="Calibri"/>
          <w:sz w:val="20"/>
          <w:szCs w:val="20"/>
        </w:rPr>
        <w:t xml:space="preserve"> 100% dos Objetivos SMART do TAP §3 possuem ao menos um risco associado na seção §10.</w:t>
      </w:r>
    </w:p>
    <w:p>
      <w:pPr>
        <w:pStyle w:val="3"/>
        <w:bidi w:val="0"/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t>Observações sobre a Gestão de Riscos</w:t>
      </w:r>
    </w:p>
    <w:p>
      <w:pPr>
        <w:numPr>
          <w:ilvl w:val="0"/>
          <w:numId w:val="2"/>
        </w:num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b/>
          <w:sz w:val="20"/>
          <w:szCs w:val="20"/>
        </w:rPr>
        <w:t>Riscos positivos (oportunidades)</w:t>
      </w:r>
      <w:r>
        <w:rPr>
          <w:rFonts w:hint="default" w:ascii="Calibri" w:hAnsi="Calibri" w:cs="Calibri"/>
          <w:sz w:val="20"/>
          <w:szCs w:val="20"/>
        </w:rPr>
        <w:t>: O projeto identifica como oportunidade o uso de IA generativa (SDD) para acelerar a produção de artefatos e código-fonte, desde que com rastreabilidade adequada (Critério de Inovação Controlada, §3.2).</w:t>
      </w:r>
    </w:p>
    <w:p>
      <w:pPr>
        <w:numPr>
          <w:ilvl w:val="0"/>
          <w:numId w:val="2"/>
        </w:num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b/>
          <w:sz w:val="20"/>
          <w:szCs w:val="20"/>
        </w:rPr>
        <w:t>Reserva de contingência</w:t>
      </w:r>
      <w:r>
        <w:rPr>
          <w:rFonts w:hint="default" w:ascii="Calibri" w:hAnsi="Calibri" w:cs="Calibri"/>
          <w:sz w:val="20"/>
          <w:szCs w:val="20"/>
        </w:rPr>
        <w:t>: Dada a restrição de orçamento zero (§8.4), não há reserva financeira para contingências. A gestão de riscos depende de ações preventivas e adaptações rápidas, conforme princípio GMV.</w:t>
      </w:r>
    </w:p>
    <w:p>
      <w:pPr>
        <w:numPr>
          <w:ilvl w:val="0"/>
          <w:numId w:val="2"/>
        </w:num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b/>
          <w:sz w:val="20"/>
          <w:szCs w:val="20"/>
        </w:rPr>
        <w:t>Monitoramento contínuo</w:t>
      </w:r>
      <w:r>
        <w:rPr>
          <w:rFonts w:hint="default" w:ascii="Calibri" w:hAnsi="Calibri" w:cs="Calibri"/>
          <w:sz w:val="20"/>
          <w:szCs w:val="20"/>
        </w:rPr>
        <w:t>: Os riscos serão monitorados quinzenalmente via GitHub Projects (label risk ou blocked), com revisão formal no Plano de Riscos (§08).</w:t>
      </w:r>
    </w:p>
    <w:p>
      <w:pPr>
        <w:numPr>
          <w:ilvl w:val="0"/>
          <w:numId w:val="2"/>
        </w:numPr>
        <w:rPr>
          <w:rFonts w:hint="default" w:ascii="Calibri" w:hAnsi="Calibri" w:cs="Calibri"/>
          <w:sz w:val="20"/>
          <w:szCs w:val="20"/>
        </w:rPr>
      </w:pPr>
      <w:r>
        <w:rPr>
          <w:rFonts w:hint="default" w:ascii="Calibri" w:hAnsi="Calibri" w:cs="Calibri"/>
          <w:b/>
          <w:sz w:val="20"/>
          <w:szCs w:val="20"/>
        </w:rPr>
        <w:t>Gatilhos de reavaliação</w:t>
      </w:r>
      <w:r>
        <w:rPr>
          <w:rFonts w:hint="default" w:ascii="Calibri" w:hAnsi="Calibri" w:cs="Calibri"/>
          <w:sz w:val="20"/>
          <w:szCs w:val="20"/>
        </w:rPr>
        <w:t>: Caso algum risco se materialize ou novos riscos sejam identificados com severidade CRÍTICA, o processo formal de gestão de mudanças (Fase N10 da EAP v2.0) será acionado.</w:t>
      </w:r>
    </w:p>
    <w:sectPr>
      <w:pgSz w:w="12240" w:h="15840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方正黑体_GB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SimSun">
    <w:altName w:val="方正书宋_GBK"/>
    <w:panose1 w:val="02010600030101010101"/>
    <w:charset w:val="86"/>
    <w:family w:val="auto"/>
    <w:pitch w:val="default"/>
    <w:sig w:usb0="00000000" w:usb1="00000000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5E0AD8"/>
    <w:multiLevelType w:val="singleLevel"/>
    <w:tmpl w:val="9E5E0AD8"/>
    <w:lvl w:ilvl="0" w:tentative="0">
      <w:start w:val="1"/>
      <w:numFmt w:val="lowerLetter"/>
      <w:suff w:val="space"/>
      <w:lvlText w:val="(%1)"/>
      <w:lvlJc w:val="left"/>
    </w:lvl>
  </w:abstractNum>
  <w:abstractNum w:abstractNumId="1">
    <w:nsid w:val="F4FE11D7"/>
    <w:multiLevelType w:val="multilevel"/>
    <w:tmpl w:val="F4FE11D7"/>
    <w:lvl w:ilvl="0" w:tentative="0">
      <w:start w:val="1"/>
      <w:numFmt w:val="decimal"/>
      <w:lvlText w:val="%1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"/>
      <w:lvlJc w:val="left"/>
      <w:pPr>
        <w:tabs>
          <w:tab w:val="left" w:pos="5760"/>
        </w:tabs>
        <w:ind w:left="576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cumentProtection w:enforcement="0"/>
  <w:defaultTabStop w:val="720"/>
  <w:compat>
    <w:splitPgBreakAndParaMark/>
    <w:compatSetting w:name="compatibilityMode" w:uri="http://schemas.microsoft.com/office/word" w:val="12"/>
  </w:compat>
  <w:rsids>
    <w:rsidRoot w:val="00000000"/>
    <w:rsid w:val="BBFB09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after="120" w:line="240" w:lineRule="atLeast"/>
      <w:outlineLvl w:val="0"/>
    </w:pPr>
    <w:rPr>
      <w:rFonts w:ascii="Times New Roman" w:hAnsiTheme="minorHAnsi" w:eastAsiaTheme="minorHAnsi" w:cstheme="minorBidi"/>
      <w:b/>
      <w:sz w:val="48"/>
      <w:szCs w:val="48"/>
      <w:lang w:val="en-US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360" w:after="80" w:line="240" w:lineRule="atLeast"/>
      <w:outlineLvl w:val="1"/>
    </w:pPr>
    <w:rPr>
      <w:rFonts w:ascii="Times New Roman" w:hAnsiTheme="minorHAnsi" w:eastAsiaTheme="minorHAnsi" w:cstheme="minorBidi"/>
      <w:b/>
      <w:sz w:val="36"/>
      <w:szCs w:val="36"/>
      <w:lang w:val="en-US" w:eastAsia="en-US" w:bidi="ar-SA"/>
    </w:rPr>
  </w:style>
  <w:style w:type="paragraph" w:styleId="4">
    <w:name w:val="heading 3"/>
    <w:next w:val="1"/>
    <w:semiHidden/>
    <w:unhideWhenUsed/>
    <w:qFormat/>
    <w:uiPriority w:val="9"/>
    <w:pPr>
      <w:keepNext/>
      <w:keepLines/>
      <w:spacing w:before="280" w:after="80" w:line="240" w:lineRule="atLeast"/>
      <w:outlineLvl w:val="2"/>
    </w:pPr>
    <w:rPr>
      <w:rFonts w:ascii="Times New Roman" w:hAnsiTheme="minorHAnsi" w:eastAsiaTheme="minorHAnsi" w:cstheme="minorBidi"/>
      <w:b/>
      <w:sz w:val="28"/>
      <w:szCs w:val="28"/>
      <w:lang w:val="en-US" w:eastAsia="en-US" w:bidi="ar-SA"/>
    </w:rPr>
  </w:style>
  <w:style w:type="paragraph" w:styleId="5">
    <w:name w:val="heading 4"/>
    <w:next w:val="1"/>
    <w:semiHidden/>
    <w:unhideWhenUsed/>
    <w:qFormat/>
    <w:uiPriority w:val="9"/>
    <w:pPr>
      <w:keepNext/>
      <w:keepLines/>
      <w:spacing w:before="240" w:after="40" w:line="240" w:lineRule="atLeast"/>
      <w:outlineLvl w:val="3"/>
    </w:pPr>
    <w:rPr>
      <w:rFonts w:ascii="Times New Roman" w:hAnsiTheme="minorHAnsi" w:eastAsiaTheme="minorHAnsi" w:cstheme="minorBidi"/>
      <w:b/>
      <w:sz w:val="24"/>
      <w:szCs w:val="24"/>
      <w:lang w:val="en-US" w:eastAsia="en-US" w:bidi="ar-SA"/>
    </w:rPr>
  </w:style>
  <w:style w:type="paragraph" w:styleId="6">
    <w:name w:val="heading 5"/>
    <w:next w:val="1"/>
    <w:semiHidden/>
    <w:unhideWhenUsed/>
    <w:qFormat/>
    <w:uiPriority w:val="9"/>
    <w:pPr>
      <w:keepNext/>
      <w:keepLines/>
      <w:spacing w:before="220" w:after="40" w:line="240" w:lineRule="atLeast"/>
      <w:outlineLvl w:val="4"/>
    </w:pPr>
    <w:rPr>
      <w:rFonts w:ascii="Times New Roman" w:hAnsiTheme="minorHAnsi" w:eastAsiaTheme="minorHAnsi" w:cstheme="minorBidi"/>
      <w:b/>
      <w:sz w:val="24"/>
      <w:szCs w:val="24"/>
      <w:lang w:val="en-US" w:eastAsia="en-US" w:bidi="ar-SA"/>
    </w:rPr>
  </w:style>
  <w:style w:type="paragraph" w:styleId="7">
    <w:name w:val="heading 6"/>
    <w:next w:val="1"/>
    <w:semiHidden/>
    <w:unhideWhenUsed/>
    <w:qFormat/>
    <w:uiPriority w:val="9"/>
    <w:pPr>
      <w:keepNext/>
      <w:keepLines/>
      <w:spacing w:before="200" w:after="40" w:line="240" w:lineRule="atLeast"/>
      <w:outlineLvl w:val="5"/>
    </w:pPr>
    <w:rPr>
      <w:rFonts w:ascii="Times New Roman" w:hAnsiTheme="minorHAnsi" w:eastAsiaTheme="minorHAnsi" w:cstheme="minorBidi"/>
      <w:b/>
      <w:sz w:val="20"/>
      <w:szCs w:val="20"/>
      <w:lang w:val="en-US" w:eastAsia="en-US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3</TotalTime>
  <ScaleCrop>false</ScaleCrop>
  <LinksUpToDate>false</LinksUpToDate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1900-01-00T00:00:00Z</dcterms:created>
  <dc:creator>html-to-docx</dc:creator>
  <cp:keywords>html-to-docx</cp:keywords>
  <cp:lastModifiedBy>leonardo</cp:lastModifiedBy>
  <dcterms:modified xsi:type="dcterms:W3CDTF">2026-09-16T15:22:49Z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