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/>
          <w:sz w:val="20"/>
          <w:szCs w:val="20"/>
          <w:u w:val="none"/>
        </w:rPr>
      </w:pPr>
      <w:bookmarkStart w:id="0" w:name="_GoBack"/>
      <w:r>
        <w:rPr>
          <w:rFonts w:hint="default" w:ascii="Calibri" w:hAnsi="Calibri" w:cs="Calibri"/>
          <w:sz w:val="20"/>
          <w:szCs w:val="20"/>
          <w:u w:val="none"/>
        </w:rPr>
        <w:t>Esta seção estabelece a estimativa preliminar de custos para o projeto COGME, conforme o Processo 4.1 (Desenvolver o Termo de Abertura do Projeto) do PMBOK® 6ª edição e o Domínio de Planejamento do PMBOK® 7ª edição.</w:t>
      </w:r>
    </w:p>
    <w:p>
      <w:pPr>
        <w:rPr>
          <w:rFonts w:hint="default" w:ascii="Calibri" w:hAnsi="Calibri" w:cs="Calibri"/>
          <w:sz w:val="20"/>
          <w:szCs w:val="20"/>
          <w:u w:val="none"/>
        </w:rPr>
      </w:pPr>
      <w:r>
        <w:rPr>
          <w:rFonts w:hint="default" w:ascii="Calibri" w:hAnsi="Calibri" w:cs="Calibri"/>
          <w:sz w:val="20"/>
          <w:szCs w:val="20"/>
          <w:u w:val="none"/>
        </w:rPr>
        <w:t xml:space="preserve">Dada a natureza acadêmica e simulada do projeto, aliada ao compromisso institucional com o Software Livre, o orçamento aprovado para a linha de base de custos é </w:t>
      </w:r>
      <w:r>
        <w:rPr>
          <w:rFonts w:hint="default" w:ascii="Calibri" w:hAnsi="Calibri" w:cs="Calibri"/>
          <w:b/>
          <w:sz w:val="20"/>
          <w:szCs w:val="20"/>
          <w:u w:val="none"/>
        </w:rPr>
        <w:t>nulo</w:t>
      </w:r>
      <w:r>
        <w:rPr>
          <w:rFonts w:hint="default" w:ascii="Calibri" w:hAnsi="Calibri" w:cs="Calibri"/>
          <w:sz w:val="20"/>
          <w:szCs w:val="20"/>
          <w:u w:val="none"/>
        </w:rPr>
        <w:t>.</w:t>
      </w:r>
    </w:p>
    <w:p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Linha de Base de Custos (Preliminar)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87"/>
        <w:gridCol w:w="1451"/>
        <w:gridCol w:w="5532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Categoria de Custo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Estimativa Preliminar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Justificativa e Premissa Associada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u w:val="none"/>
              </w:rPr>
              <w:t>Recursos Humanos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R$ 0,00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Esforço acadêmico dos membros da equipe (2 pessoas). Não há folha de pagamento, terceirização ou horas extras remuneradas.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u w:val="none"/>
              </w:rPr>
              <w:t>Software e Ferramentas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R$ 0,00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Adoção estrita de tecnologias 100% FOSS (Free and Open Source Software). Ex: Python, FastAPI, SQLite, WeasyPrint, GitHub (Free Tier).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u w:val="none"/>
              </w:rPr>
              <w:t>Infraestrutura e Hospedagem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R$ 0,00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O MVP será desenvolvido, testado e validado em ambiente local (homologação). Não há contratação de serviços de cloud paga ou domínios comerciais.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u w:val="none"/>
              </w:rPr>
              <w:t>Reserva de Contingência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R$ 0,00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Não há verba financeira para absorver imprevistos. A mitigação de riscos dependerá exclusivamente de flexibilidade de escopo, alternativas FOSS e gestão de tempo.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u w:val="none"/>
              </w:rPr>
              <w:t>Reserva de Gerenciamento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R$ 0,00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Inaplicável em projetos sem patrocínio financeiro ou margem de lucro.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u w:val="none"/>
              </w:rPr>
              <w:t>TOTAL DO ORÇAMENTO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u w:val="none"/>
              </w:rPr>
              <w:t>R$ 0,00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b/>
                <w:sz w:val="20"/>
                <w:szCs w:val="20"/>
                <w:u w:val="none"/>
              </w:rPr>
              <w:t>Linha de base de custos aprovada para o ciclo de vida do projeto.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  <w:u w:val="none"/>
        </w:rPr>
      </w:pPr>
    </w:p>
    <w:p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Implicações Estratégicas do Orçamento Zero</w:t>
      </w:r>
    </w:p>
    <w:p>
      <w:pPr>
        <w:rPr>
          <w:rFonts w:hint="default" w:ascii="Calibri" w:hAnsi="Calibri" w:cs="Calibri"/>
          <w:sz w:val="20"/>
          <w:szCs w:val="20"/>
          <w:u w:val="none"/>
        </w:rPr>
      </w:pPr>
      <w:r>
        <w:rPr>
          <w:rFonts w:hint="default" w:ascii="Calibri" w:hAnsi="Calibri" w:cs="Calibri"/>
          <w:sz w:val="20"/>
          <w:szCs w:val="20"/>
          <w:u w:val="none"/>
        </w:rPr>
        <w:t>A ausência de recursos financeiros impõe condições específicas à gestão do projeto, que devem ser rigorosamente observadas: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  <w:u w:val="none"/>
        </w:rPr>
      </w:pPr>
      <w:r>
        <w:rPr>
          <w:rFonts w:hint="default" w:ascii="Calibri" w:hAnsi="Calibri" w:cs="Calibri"/>
          <w:b/>
          <w:sz w:val="20"/>
          <w:szCs w:val="20"/>
          <w:u w:val="none"/>
        </w:rPr>
        <w:t>Mitigação de Riscos sem Custo:</w:t>
      </w:r>
      <w:r>
        <w:rPr>
          <w:rFonts w:hint="default" w:ascii="Calibri" w:hAnsi="Calibri" w:cs="Calibri"/>
          <w:sz w:val="20"/>
          <w:szCs w:val="20"/>
          <w:u w:val="none"/>
        </w:rPr>
        <w:t xml:space="preserve"> Qualquer risco materializado (ex: instabilidade de uma API gratuita de câmbio) deve ser resolvido com alternativas técnicas gratuitas (ex: adapter pattern para outra API FOSS) ou ajuste de escopo, nunca com a aquisição de serviços pagos.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  <w:u w:val="none"/>
        </w:rPr>
      </w:pPr>
      <w:r>
        <w:rPr>
          <w:rFonts w:hint="default" w:ascii="Calibri" w:hAnsi="Calibri" w:cs="Calibri"/>
          <w:b/>
          <w:sz w:val="20"/>
          <w:szCs w:val="20"/>
          <w:u w:val="none"/>
        </w:rPr>
        <w:t>Validação da Stack Tecnológica:</w:t>
      </w:r>
      <w:r>
        <w:rPr>
          <w:rFonts w:hint="default" w:ascii="Calibri" w:hAnsi="Calibri" w:cs="Calibri"/>
          <w:sz w:val="20"/>
          <w:szCs w:val="20"/>
          <w:u w:val="none"/>
        </w:rPr>
        <w:t xml:space="preserve"> A seleção de todas as ferramentas (Fase N4.1 da EAP) está condicionada à existência de licenças compatíveis (MIT, Apache 2.0, GPL) e planos gratuitos que suportem a carga do MVP acadêmico.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  <w:u w:val="none"/>
        </w:rPr>
      </w:pPr>
      <w:r>
        <w:rPr>
          <w:rFonts w:hint="default" w:ascii="Calibri" w:hAnsi="Calibri" w:cs="Calibri"/>
          <w:b/>
          <w:sz w:val="20"/>
          <w:szCs w:val="20"/>
          <w:u w:val="none"/>
        </w:rPr>
        <w:t>Foco em Valor, não em Despesa:</w:t>
      </w:r>
      <w:r>
        <w:rPr>
          <w:rFonts w:hint="default" w:ascii="Calibri" w:hAnsi="Calibri" w:cs="Calibri"/>
          <w:sz w:val="20"/>
          <w:szCs w:val="20"/>
          <w:u w:val="none"/>
        </w:rPr>
        <w:t xml:space="preserve"> Conforme o Domínio de Medição do PMBOK 7ª, o sucesso do projeto será mensurado pela entrega de funcionalidades (Throughput, Cycle Time, cobertura de testes), e não por métricas financeiras tradicionais (como CPI ou SPI, que são inaplicáveis neste contexto).</w:t>
      </w:r>
    </w:p>
    <w:p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Rastreabilidade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721"/>
        <w:gridCol w:w="624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Origem no TAP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Vínculo com o Orçamento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§3 (Objetivo: Inovação e Ferramentas)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Exige que 100% do ciclo de vida utilize ferramentas FOSS, sustentando o custo zero.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§8.4 (Restrições de Custo)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Estabelece a proibição formal de aquisições pagas e a inexistência de verba institucional.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§9 (Premissas)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20"/>
                <w:szCs w:val="20"/>
                <w:u w:val="none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</w:rPr>
              <w:t>Assume que o hardware local da equipe é suficiente e que serviços externos gratuitos estarão disponíveis.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  <w:u w:val="none"/>
        </w:rPr>
      </w:pPr>
    </w:p>
    <w:p>
      <w:pPr>
        <w:rPr>
          <w:rFonts w:hint="default" w:ascii="Calibri" w:hAnsi="Calibri" w:cs="Calibri"/>
          <w:sz w:val="20"/>
          <w:szCs w:val="20"/>
          <w:u w:val="none"/>
        </w:rPr>
      </w:pPr>
      <w:r>
        <w:rPr>
          <w:rFonts w:hint="default" w:ascii="Calibri" w:hAnsi="Calibri" w:cs="Calibri"/>
          <w:sz w:val="20"/>
          <w:szCs w:val="20"/>
          <w:u w:val="none"/>
        </w:rPr>
        <w:t>Nota:</w:t>
      </w:r>
      <w:r>
        <w:rPr>
          <w:rFonts w:hint="default" w:ascii="Calibri" w:hAnsi="Calibri" w:cs="Calibri"/>
          <w:i/>
          <w:iCs/>
          <w:sz w:val="20"/>
          <w:szCs w:val="20"/>
          <w:u w:val="none"/>
        </w:rPr>
        <w:t xml:space="preserve"> O detalhamento de qualquer eventual custo indireto (ex: consumo marginal de energia elétrica ou internet) é considerado absorvido pelos recursos pessoais da equipe e não compõe a linha de base formal do projeto.</w:t>
      </w:r>
    </w:p>
    <w:bookmarkEnd w:id="0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2BF69"/>
    <w:multiLevelType w:val="multilevel"/>
    <w:tmpl w:val="BFE2BF6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FDF8D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2026-09-16T15:22:57Z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