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B42B1" w14:textId="77777777" w:rsidR="006364C4" w:rsidRPr="00062EBA" w:rsidRDefault="006364C4" w:rsidP="006364C4">
      <w:pPr>
        <w:spacing w:after="0"/>
        <w:jc w:val="center"/>
        <w:rPr>
          <w:rFonts w:ascii="Century Gothic" w:hAnsi="Century Gothic" w:cs="Arial"/>
          <w:color w:val="002060"/>
          <w:sz w:val="24"/>
          <w:szCs w:val="24"/>
          <w:lang w:val="es-ES"/>
        </w:rPr>
      </w:pPr>
      <w:bookmarkStart w:id="0" w:name="_GoBack"/>
      <w:bookmarkEnd w:id="0"/>
      <w:r w:rsidRPr="00062EBA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4D800A34" wp14:editId="441458A3">
            <wp:simplePos x="0" y="0"/>
            <wp:positionH relativeFrom="column">
              <wp:posOffset>2540</wp:posOffset>
            </wp:positionH>
            <wp:positionV relativeFrom="paragraph">
              <wp:posOffset>-78740</wp:posOffset>
            </wp:positionV>
            <wp:extent cx="1238250" cy="990600"/>
            <wp:effectExtent l="1905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62EBA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B9946B2" wp14:editId="223A0092">
            <wp:simplePos x="0" y="0"/>
            <wp:positionH relativeFrom="margin">
              <wp:align>right</wp:align>
            </wp:positionH>
            <wp:positionV relativeFrom="paragraph">
              <wp:posOffset>-383540</wp:posOffset>
            </wp:positionV>
            <wp:extent cx="1028700" cy="1390015"/>
            <wp:effectExtent l="19050" t="0" r="0" b="0"/>
            <wp:wrapNone/>
            <wp:docPr id="2" name="Imagen 4" descr="IMG-20150217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IMG-20150217-WA000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62EBA">
        <w:rPr>
          <w:rFonts w:ascii="Century Gothic" w:hAnsi="Century Gothic" w:cs="Arial"/>
          <w:color w:val="002060"/>
          <w:sz w:val="24"/>
          <w:szCs w:val="24"/>
          <w:lang w:val="es-ES"/>
        </w:rPr>
        <w:t>Ministerio de Educación Pública</w:t>
      </w:r>
    </w:p>
    <w:p w14:paraId="09BA6755" w14:textId="77777777" w:rsidR="006364C4" w:rsidRPr="00062EBA" w:rsidRDefault="006364C4" w:rsidP="006364C4">
      <w:pPr>
        <w:spacing w:after="0"/>
        <w:jc w:val="center"/>
        <w:rPr>
          <w:rFonts w:ascii="Century Gothic" w:hAnsi="Century Gothic" w:cs="Arial"/>
          <w:color w:val="002060"/>
          <w:sz w:val="24"/>
          <w:szCs w:val="24"/>
          <w:lang w:val="es-ES"/>
        </w:rPr>
      </w:pPr>
      <w:r w:rsidRPr="00062EBA">
        <w:rPr>
          <w:rFonts w:ascii="Century Gothic" w:hAnsi="Century Gothic" w:cs="Arial"/>
          <w:color w:val="002060"/>
          <w:sz w:val="24"/>
          <w:szCs w:val="24"/>
          <w:lang w:val="es-ES"/>
        </w:rPr>
        <w:t>Dirección Regional de Educación de Cartago</w:t>
      </w:r>
    </w:p>
    <w:p w14:paraId="4F1AD210" w14:textId="77777777" w:rsidR="006364C4" w:rsidRPr="00062EBA" w:rsidRDefault="006364C4" w:rsidP="006364C4">
      <w:pPr>
        <w:spacing w:after="0"/>
        <w:jc w:val="center"/>
        <w:rPr>
          <w:rFonts w:ascii="Century Gothic" w:hAnsi="Century Gothic" w:cs="Arial"/>
          <w:color w:val="002060"/>
          <w:sz w:val="24"/>
          <w:szCs w:val="24"/>
          <w:lang w:val="es-ES"/>
        </w:rPr>
      </w:pPr>
      <w:r w:rsidRPr="00062EBA">
        <w:rPr>
          <w:rFonts w:ascii="Century Gothic" w:hAnsi="Century Gothic" w:cs="Arial"/>
          <w:color w:val="002060"/>
          <w:sz w:val="24"/>
          <w:szCs w:val="24"/>
          <w:lang w:val="es-ES"/>
        </w:rPr>
        <w:t>Supervisión de Centros Educativos Circuito 01</w:t>
      </w:r>
    </w:p>
    <w:p w14:paraId="52F993C4" w14:textId="77777777" w:rsidR="006364C4" w:rsidRPr="00062EBA" w:rsidRDefault="006364C4" w:rsidP="006364C4">
      <w:pPr>
        <w:spacing w:after="0"/>
        <w:jc w:val="center"/>
        <w:rPr>
          <w:rFonts w:ascii="Century Gothic" w:hAnsi="Century Gothic" w:cs="Arial"/>
          <w:color w:val="002060"/>
          <w:sz w:val="24"/>
          <w:szCs w:val="24"/>
          <w:lang w:val="es-ES"/>
        </w:rPr>
      </w:pPr>
      <w:r w:rsidRPr="00062EBA">
        <w:rPr>
          <w:rFonts w:ascii="Century Gothic" w:hAnsi="Century Gothic" w:cs="Arial"/>
          <w:color w:val="002060"/>
          <w:sz w:val="24"/>
          <w:szCs w:val="24"/>
          <w:lang w:val="es-ES"/>
        </w:rPr>
        <w:t>Escuela Jesús Jiménez</w:t>
      </w:r>
    </w:p>
    <w:p w14:paraId="4BA6ABE1" w14:textId="77777777" w:rsidR="006364C4" w:rsidRPr="00062EBA" w:rsidRDefault="006364C4" w:rsidP="006364C4">
      <w:pPr>
        <w:pBdr>
          <w:bottom w:val="single" w:sz="12" w:space="1" w:color="auto"/>
        </w:pBdr>
        <w:spacing w:after="0"/>
        <w:jc w:val="center"/>
        <w:rPr>
          <w:rFonts w:ascii="Century Gothic" w:hAnsi="Century Gothic" w:cs="Arial"/>
          <w:color w:val="4F81BD" w:themeColor="accent1"/>
          <w:sz w:val="24"/>
          <w:szCs w:val="24"/>
          <w:lang w:val="es-ES"/>
        </w:rPr>
      </w:pPr>
      <w:r w:rsidRPr="00062EBA">
        <w:rPr>
          <w:rFonts w:ascii="Century Gothic" w:hAnsi="Century Gothic" w:cs="Arial"/>
          <w:color w:val="002060"/>
          <w:sz w:val="24"/>
          <w:szCs w:val="24"/>
          <w:lang w:val="es-ES"/>
        </w:rPr>
        <w:t>Email:escuelajesusjimenez@gmail.com</w:t>
      </w:r>
    </w:p>
    <w:p w14:paraId="541CC33C" w14:textId="77777777" w:rsidR="006364C4" w:rsidRPr="00062EBA" w:rsidRDefault="006364C4" w:rsidP="006364C4">
      <w:pPr>
        <w:spacing w:after="0" w:line="240" w:lineRule="auto"/>
        <w:contextualSpacing/>
        <w:rPr>
          <w:rFonts w:ascii="Century Gothic" w:hAnsi="Century Gothic"/>
          <w:b/>
          <w:sz w:val="24"/>
          <w:szCs w:val="24"/>
        </w:rPr>
      </w:pPr>
    </w:p>
    <w:p w14:paraId="6E7AAF3C" w14:textId="77777777" w:rsidR="006364C4" w:rsidRPr="00062EBA" w:rsidRDefault="006364C4" w:rsidP="006364C4">
      <w:pPr>
        <w:spacing w:after="0" w:line="240" w:lineRule="auto"/>
        <w:contextualSpacing/>
        <w:jc w:val="center"/>
        <w:rPr>
          <w:rFonts w:ascii="Century Gothic" w:hAnsi="Century Gothic"/>
          <w:b/>
          <w:sz w:val="24"/>
          <w:szCs w:val="24"/>
        </w:rPr>
      </w:pPr>
      <w:r w:rsidRPr="00062EBA">
        <w:rPr>
          <w:rFonts w:ascii="Century Gothic" w:hAnsi="Century Gothic"/>
          <w:b/>
          <w:sz w:val="24"/>
          <w:szCs w:val="24"/>
        </w:rPr>
        <w:t>PLANEAMIENTO DIDÁCTICO</w:t>
      </w:r>
    </w:p>
    <w:p w14:paraId="73A173D9" w14:textId="77777777" w:rsidR="006364C4" w:rsidRPr="00062EBA" w:rsidRDefault="006364C4" w:rsidP="006364C4">
      <w:pPr>
        <w:spacing w:after="0" w:line="240" w:lineRule="auto"/>
        <w:contextualSpacing/>
        <w:rPr>
          <w:rFonts w:ascii="Century Gothic" w:hAnsi="Century Gothic"/>
          <w:sz w:val="24"/>
          <w:szCs w:val="24"/>
        </w:rPr>
      </w:pPr>
    </w:p>
    <w:p w14:paraId="13E65122" w14:textId="77777777" w:rsidR="006364C4" w:rsidRPr="00062EBA" w:rsidRDefault="006364C4" w:rsidP="006364C4">
      <w:pPr>
        <w:spacing w:after="0" w:line="240" w:lineRule="auto"/>
        <w:contextualSpacing/>
        <w:rPr>
          <w:rFonts w:ascii="Century Gothic" w:hAnsi="Century Gothic"/>
          <w:sz w:val="24"/>
          <w:szCs w:val="24"/>
        </w:rPr>
      </w:pPr>
      <w:r w:rsidRPr="00062EBA">
        <w:rPr>
          <w:rFonts w:ascii="Century Gothic" w:hAnsi="Century Gothic"/>
          <w:sz w:val="24"/>
          <w:szCs w:val="24"/>
        </w:rPr>
        <w:t xml:space="preserve">Dirección Regional de Educación: </w:t>
      </w:r>
      <w:r w:rsidRPr="00062EBA">
        <w:rPr>
          <w:rFonts w:ascii="Century Gothic" w:hAnsi="Century Gothic"/>
          <w:b/>
          <w:sz w:val="24"/>
          <w:szCs w:val="24"/>
          <w:u w:val="single"/>
        </w:rPr>
        <w:t>Cartago</w:t>
      </w:r>
      <w:r w:rsidRPr="00062EBA">
        <w:rPr>
          <w:rFonts w:ascii="Century Gothic" w:hAnsi="Century Gothic"/>
          <w:sz w:val="24"/>
          <w:szCs w:val="24"/>
        </w:rPr>
        <w:tab/>
        <w:t xml:space="preserve">       Centro Educativo: </w:t>
      </w:r>
      <w:r w:rsidRPr="00062EBA">
        <w:rPr>
          <w:rFonts w:ascii="Century Gothic" w:hAnsi="Century Gothic"/>
          <w:b/>
          <w:sz w:val="24"/>
          <w:szCs w:val="24"/>
          <w:u w:val="single"/>
        </w:rPr>
        <w:t>Escuela Jesús Jiménez</w:t>
      </w:r>
    </w:p>
    <w:p w14:paraId="05C33E3A" w14:textId="77777777" w:rsidR="006364C4" w:rsidRPr="00062EBA" w:rsidRDefault="006364C4" w:rsidP="006364C4">
      <w:pPr>
        <w:spacing w:after="0" w:line="240" w:lineRule="auto"/>
        <w:contextualSpacing/>
        <w:rPr>
          <w:rFonts w:ascii="Century Gothic" w:hAnsi="Century Gothic"/>
          <w:sz w:val="24"/>
          <w:szCs w:val="24"/>
        </w:rPr>
      </w:pPr>
      <w:r w:rsidRPr="00062EBA">
        <w:rPr>
          <w:rFonts w:ascii="Century Gothic" w:hAnsi="Century Gothic"/>
          <w:sz w:val="24"/>
          <w:szCs w:val="24"/>
        </w:rPr>
        <w:t xml:space="preserve">Docente: </w:t>
      </w:r>
      <w:r w:rsidR="00F63058">
        <w:rPr>
          <w:rFonts w:ascii="Century Gothic" w:hAnsi="Century Gothic"/>
          <w:b/>
          <w:sz w:val="24"/>
          <w:szCs w:val="24"/>
          <w:u w:val="single"/>
        </w:rPr>
        <w:t>Ángela María Chacón Jiménez</w:t>
      </w:r>
      <w:r w:rsidR="00F63058">
        <w:rPr>
          <w:rFonts w:ascii="Century Gothic" w:hAnsi="Century Gothic"/>
          <w:b/>
          <w:sz w:val="24"/>
          <w:szCs w:val="24"/>
          <w:u w:val="single"/>
        </w:rPr>
        <w:tab/>
      </w:r>
      <w:r w:rsidRPr="00062EBA">
        <w:rPr>
          <w:rFonts w:ascii="Century Gothic" w:hAnsi="Century Gothic"/>
          <w:sz w:val="24"/>
          <w:szCs w:val="24"/>
        </w:rPr>
        <w:tab/>
      </w:r>
      <w:r w:rsidRPr="00062EBA">
        <w:rPr>
          <w:rFonts w:ascii="Century Gothic" w:hAnsi="Century Gothic"/>
          <w:sz w:val="24"/>
          <w:szCs w:val="24"/>
        </w:rPr>
        <w:tab/>
      </w:r>
      <w:r w:rsidRPr="00062EBA">
        <w:rPr>
          <w:rFonts w:ascii="Century Gothic" w:hAnsi="Century Gothic"/>
          <w:sz w:val="24"/>
          <w:szCs w:val="24"/>
        </w:rPr>
        <w:tab/>
        <w:t xml:space="preserve">       Asignatura: </w:t>
      </w:r>
      <w:r w:rsidRPr="00062EBA">
        <w:rPr>
          <w:rFonts w:ascii="Century Gothic" w:hAnsi="Century Gothic"/>
          <w:b/>
          <w:sz w:val="24"/>
          <w:szCs w:val="24"/>
          <w:u w:val="single"/>
        </w:rPr>
        <w:t>Ciencias</w:t>
      </w:r>
    </w:p>
    <w:p w14:paraId="2E36E561" w14:textId="77777777" w:rsidR="006364C4" w:rsidRPr="00062EBA" w:rsidRDefault="006364C4" w:rsidP="006364C4">
      <w:pPr>
        <w:spacing w:after="0" w:line="240" w:lineRule="auto"/>
        <w:contextualSpacing/>
        <w:rPr>
          <w:rFonts w:ascii="Century Gothic" w:hAnsi="Century Gothic"/>
          <w:b/>
          <w:sz w:val="24"/>
          <w:szCs w:val="24"/>
          <w:u w:val="single"/>
        </w:rPr>
      </w:pPr>
      <w:r w:rsidRPr="00062EBA">
        <w:rPr>
          <w:rFonts w:ascii="Century Gothic" w:hAnsi="Century Gothic"/>
          <w:sz w:val="24"/>
          <w:szCs w:val="24"/>
        </w:rPr>
        <w:t xml:space="preserve">Nivel: </w:t>
      </w:r>
      <w:r w:rsidRPr="00062EBA">
        <w:rPr>
          <w:rFonts w:ascii="Century Gothic" w:hAnsi="Century Gothic"/>
          <w:b/>
          <w:sz w:val="24"/>
          <w:szCs w:val="24"/>
          <w:u w:val="single"/>
        </w:rPr>
        <w:t xml:space="preserve">Tercero </w:t>
      </w:r>
      <w:r w:rsidRPr="00062EBA">
        <w:rPr>
          <w:rFonts w:ascii="Century Gothic" w:hAnsi="Century Gothic"/>
          <w:sz w:val="24"/>
          <w:szCs w:val="24"/>
        </w:rPr>
        <w:t xml:space="preserve">Sección: </w:t>
      </w:r>
      <w:r w:rsidRPr="00062EBA">
        <w:rPr>
          <w:rFonts w:ascii="Century Gothic" w:hAnsi="Century Gothic"/>
          <w:b/>
          <w:sz w:val="24"/>
          <w:szCs w:val="24"/>
          <w:u w:val="single"/>
        </w:rPr>
        <w:t xml:space="preserve">3 – </w:t>
      </w:r>
      <w:r w:rsidR="00F60FD1">
        <w:rPr>
          <w:rFonts w:ascii="Century Gothic" w:hAnsi="Century Gothic"/>
          <w:b/>
          <w:sz w:val="24"/>
          <w:szCs w:val="24"/>
          <w:u w:val="single"/>
        </w:rPr>
        <w:t>4</w:t>
      </w:r>
      <w:r w:rsidRPr="00062EBA">
        <w:rPr>
          <w:rFonts w:ascii="Century Gothic" w:hAnsi="Century Gothic"/>
          <w:sz w:val="24"/>
          <w:szCs w:val="24"/>
        </w:rPr>
        <w:tab/>
      </w:r>
      <w:r w:rsidRPr="00062EBA">
        <w:rPr>
          <w:rFonts w:ascii="Century Gothic" w:hAnsi="Century Gothic"/>
          <w:sz w:val="24"/>
          <w:szCs w:val="24"/>
        </w:rPr>
        <w:tab/>
      </w:r>
      <w:r w:rsidRPr="00062EBA">
        <w:rPr>
          <w:rFonts w:ascii="Century Gothic" w:hAnsi="Century Gothic"/>
          <w:sz w:val="24"/>
          <w:szCs w:val="24"/>
        </w:rPr>
        <w:tab/>
        <w:t xml:space="preserve">                  Periodo Lectivo: </w:t>
      </w:r>
      <w:r w:rsidR="00FD3DA3">
        <w:rPr>
          <w:rFonts w:ascii="Century Gothic" w:hAnsi="Century Gothic"/>
          <w:b/>
          <w:sz w:val="24"/>
          <w:szCs w:val="24"/>
          <w:u w:val="single"/>
        </w:rPr>
        <w:t>Segundo</w:t>
      </w:r>
      <w:r w:rsidRPr="00062EBA">
        <w:rPr>
          <w:rFonts w:ascii="Century Gothic" w:hAnsi="Century Gothic"/>
          <w:sz w:val="24"/>
          <w:szCs w:val="24"/>
        </w:rPr>
        <w:tab/>
      </w:r>
      <w:r w:rsidRPr="00062EBA">
        <w:rPr>
          <w:rFonts w:ascii="Century Gothic" w:hAnsi="Century Gothic"/>
          <w:sz w:val="24"/>
          <w:szCs w:val="24"/>
        </w:rPr>
        <w:tab/>
        <w:t xml:space="preserve">Mes: </w:t>
      </w:r>
      <w:r w:rsidR="002618B6">
        <w:rPr>
          <w:rFonts w:ascii="Century Gothic" w:hAnsi="Century Gothic"/>
          <w:b/>
          <w:sz w:val="24"/>
          <w:szCs w:val="24"/>
          <w:u w:val="single"/>
        </w:rPr>
        <w:t>Setiembre</w:t>
      </w:r>
      <w:r w:rsidR="00B842FC">
        <w:rPr>
          <w:rFonts w:ascii="Century Gothic" w:hAnsi="Century Gothic"/>
          <w:b/>
          <w:sz w:val="24"/>
          <w:szCs w:val="24"/>
          <w:u w:val="single"/>
        </w:rPr>
        <w:t xml:space="preserve"> de 2019</w:t>
      </w:r>
    </w:p>
    <w:p w14:paraId="0B0A7775" w14:textId="77777777" w:rsidR="006364C4" w:rsidRPr="00062EBA" w:rsidRDefault="006364C4" w:rsidP="006364C4">
      <w:pPr>
        <w:rPr>
          <w:rFonts w:ascii="Century Gothic" w:hAnsi="Century Gothic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8"/>
        <w:gridCol w:w="4796"/>
        <w:gridCol w:w="4796"/>
      </w:tblGrid>
      <w:tr w:rsidR="00081633" w:rsidRPr="00062EBA" w14:paraId="6E09E011" w14:textId="77777777" w:rsidTr="00FD3DA3">
        <w:tc>
          <w:tcPr>
            <w:tcW w:w="4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958657" w14:textId="77777777" w:rsidR="006364C4" w:rsidRPr="00062EBA" w:rsidRDefault="006364C4">
            <w:pPr>
              <w:rPr>
                <w:rFonts w:ascii="Century Gothic" w:hAnsi="Century Gothic" w:cs="Andalus"/>
                <w:b/>
                <w:sz w:val="24"/>
                <w:szCs w:val="24"/>
                <w:lang w:eastAsia="en-US"/>
              </w:rPr>
            </w:pPr>
            <w:r w:rsidRPr="00062EBA">
              <w:rPr>
                <w:rFonts w:ascii="Century Gothic" w:hAnsi="Century Gothic" w:cs="Andalus"/>
                <w:b/>
                <w:sz w:val="24"/>
                <w:szCs w:val="24"/>
                <w:lang w:eastAsia="en-US"/>
              </w:rPr>
              <w:t>Aprendizajes esperados</w:t>
            </w:r>
          </w:p>
        </w:tc>
        <w:tc>
          <w:tcPr>
            <w:tcW w:w="4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4F9259" w14:textId="77777777" w:rsidR="006364C4" w:rsidRPr="00062EBA" w:rsidRDefault="006364C4">
            <w:pPr>
              <w:jc w:val="center"/>
              <w:rPr>
                <w:rFonts w:ascii="Century Gothic" w:hAnsi="Century Gothic" w:cs="Andalus"/>
                <w:b/>
                <w:sz w:val="24"/>
                <w:szCs w:val="24"/>
                <w:lang w:eastAsia="en-US"/>
              </w:rPr>
            </w:pPr>
            <w:r w:rsidRPr="00062EBA">
              <w:rPr>
                <w:rFonts w:ascii="Century Gothic" w:hAnsi="Century Gothic" w:cs="Andalus"/>
                <w:b/>
                <w:sz w:val="24"/>
                <w:szCs w:val="24"/>
                <w:lang w:eastAsia="en-US"/>
              </w:rPr>
              <w:t>Estrategias de Mediación</w:t>
            </w:r>
          </w:p>
        </w:tc>
        <w:tc>
          <w:tcPr>
            <w:tcW w:w="4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AE1288" w14:textId="77777777" w:rsidR="006364C4" w:rsidRPr="00062EBA" w:rsidRDefault="006364C4">
            <w:pPr>
              <w:jc w:val="center"/>
              <w:rPr>
                <w:rFonts w:ascii="Century Gothic" w:hAnsi="Century Gothic" w:cs="Andalus"/>
                <w:b/>
                <w:sz w:val="24"/>
                <w:szCs w:val="24"/>
                <w:lang w:eastAsia="en-US"/>
              </w:rPr>
            </w:pPr>
            <w:r w:rsidRPr="00062EBA">
              <w:rPr>
                <w:rFonts w:ascii="Century Gothic" w:hAnsi="Century Gothic" w:cs="Andalus"/>
                <w:b/>
                <w:sz w:val="24"/>
                <w:szCs w:val="24"/>
                <w:lang w:eastAsia="en-US"/>
              </w:rPr>
              <w:t>Indicadores</w:t>
            </w:r>
          </w:p>
        </w:tc>
      </w:tr>
      <w:tr w:rsidR="006B43D6" w14:paraId="3D1676E0" w14:textId="77777777" w:rsidTr="00FD3DA3">
        <w:tc>
          <w:tcPr>
            <w:tcW w:w="4798" w:type="dxa"/>
          </w:tcPr>
          <w:p w14:paraId="7B02D81A" w14:textId="77777777" w:rsidR="00D85356" w:rsidRDefault="006B43D6" w:rsidP="00740973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Determinar </w:t>
            </w:r>
            <w:proofErr w:type="gramStart"/>
            <w:r>
              <w:rPr>
                <w:rFonts w:ascii="Century Gothic" w:hAnsi="Century Gothic"/>
                <w:sz w:val="20"/>
                <w:szCs w:val="20"/>
              </w:rPr>
              <w:t xml:space="preserve">la </w:t>
            </w:r>
            <w:r w:rsidR="00844D94">
              <w:rPr>
                <w:rFonts w:ascii="Century Gothic" w:hAnsi="Century Gothic"/>
                <w:sz w:val="20"/>
                <w:szCs w:val="20"/>
              </w:rPr>
              <w:t>fuentes</w:t>
            </w:r>
            <w:proofErr w:type="gramEnd"/>
            <w:r>
              <w:rPr>
                <w:rFonts w:ascii="Century Gothic" w:hAnsi="Century Gothic"/>
                <w:sz w:val="20"/>
                <w:szCs w:val="20"/>
              </w:rPr>
              <w:t xml:space="preserve"> de energía que requieren algunas máquinas, utilizadas por el ser humanos en sus labores cotidianas.</w:t>
            </w:r>
          </w:p>
          <w:p w14:paraId="478A8B9B" w14:textId="77777777" w:rsidR="00D85356" w:rsidRDefault="00D85356" w:rsidP="00740973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0BE5E543" w14:textId="2C722521" w:rsidR="006B43D6" w:rsidRPr="00740973" w:rsidRDefault="00D85356" w:rsidP="00740973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  <w:r w:rsidR="006B43D6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4796" w:type="dxa"/>
          </w:tcPr>
          <w:p w14:paraId="0D990333" w14:textId="77777777" w:rsidR="0053167E" w:rsidRPr="0062500E" w:rsidRDefault="001B4152" w:rsidP="005B5DA5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62500E">
              <w:rPr>
                <w:rFonts w:ascii="Century Gothic" w:hAnsi="Century Gothic" w:cs="Cambria"/>
                <w:sz w:val="20"/>
                <w:szCs w:val="20"/>
              </w:rPr>
              <w:t>En subgrupos se elaboran cuadros para registrar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y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comunicar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ideas.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facilitan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materiales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5B5DA5" w:rsidRPr="0062500E">
              <w:rPr>
                <w:rFonts w:ascii="Century Gothic" w:hAnsi="Century Gothic" w:cs="Cambria"/>
                <w:sz w:val="20"/>
                <w:szCs w:val="20"/>
              </w:rPr>
              <w:t>reutilizables como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palitos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madera,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cartón,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pajillas,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goma,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tijeras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entre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otros.</w:t>
            </w:r>
          </w:p>
          <w:p w14:paraId="421C766C" w14:textId="77777777" w:rsidR="009E4E1D" w:rsidRDefault="001B4152" w:rsidP="005B5DA5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62500E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solicita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cada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subgrupo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que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elaboren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un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modelo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o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maqueta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una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hélice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que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pueda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moverse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con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ayuda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del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viento.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organizan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exposiciones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para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presentar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los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trabajo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realizados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</w:p>
          <w:p w14:paraId="58F7DE3B" w14:textId="77777777" w:rsidR="009E4E1D" w:rsidRDefault="001B4152" w:rsidP="005B5DA5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62500E">
              <w:rPr>
                <w:rFonts w:ascii="Century Gothic" w:hAnsi="Century Gothic" w:cs="Cambria"/>
                <w:sz w:val="20"/>
                <w:szCs w:val="20"/>
              </w:rPr>
              <w:t>Mediante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la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consulta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información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libros,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artículos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revistas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o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sitios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web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carácter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científico,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acerca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fuentes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energía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para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que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algunas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máquinas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funcionen,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como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el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molino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viento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(corrientes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aire)</w:t>
            </w:r>
            <w:r w:rsidR="005B5DA5" w:rsidRPr="0062500E">
              <w:rPr>
                <w:rFonts w:ascii="Century Gothic" w:hAnsi="Century Gothic" w:cs="Cambria"/>
                <w:sz w:val="20"/>
                <w:szCs w:val="20"/>
              </w:rPr>
              <w:t>, turbina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una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planta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hidroeléctrica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(agua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movimiento),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juguete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(batería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u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otra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fuente),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ventilador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(corriente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eléctrica),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automóvil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(combustible),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celda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solar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(radiación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solar),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entre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otros.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</w:p>
          <w:p w14:paraId="381564D6" w14:textId="77777777" w:rsidR="009E4E1D" w:rsidRDefault="001B4152" w:rsidP="005B5DA5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62500E">
              <w:rPr>
                <w:rFonts w:ascii="Century Gothic" w:hAnsi="Century Gothic" w:cs="Cambria"/>
                <w:sz w:val="20"/>
                <w:szCs w:val="20"/>
              </w:rPr>
              <w:t>Cada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subgrupo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reflexiona: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¿cuál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otra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fuente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energía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puede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utilizar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para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hacer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girar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el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modelo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o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maqueta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la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hélice?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exponen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los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cambios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5B5DA5" w:rsidRPr="0062500E">
              <w:rPr>
                <w:rFonts w:ascii="Century Gothic" w:hAnsi="Century Gothic" w:cs="Cambria"/>
                <w:sz w:val="20"/>
                <w:szCs w:val="20"/>
              </w:rPr>
              <w:t>que realizarían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al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5B5DA5" w:rsidRPr="0062500E">
              <w:rPr>
                <w:rFonts w:ascii="Century Gothic" w:hAnsi="Century Gothic" w:cs="Cambria"/>
                <w:sz w:val="20"/>
                <w:szCs w:val="20"/>
              </w:rPr>
              <w:t>modelo o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maqueta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para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lastRenderedPageBreak/>
              <w:t>aprovechar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mejor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manera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la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fuente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energía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del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viento.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Se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anotan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conclusiones.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</w:p>
          <w:p w14:paraId="27CA32B2" w14:textId="77777777" w:rsidR="0053167E" w:rsidRPr="0062500E" w:rsidRDefault="001B4152" w:rsidP="005B5DA5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62500E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plenaria,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comenta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que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máquinas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requieren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algún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tipo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energía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para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su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funcionamiento,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forma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analogía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platean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otras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interrogantes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como: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¿qué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fuente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energía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requiere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el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ser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humano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para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realizar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sus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actividades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cotidianas?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¿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Cómo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afecta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una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mala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alimentación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el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rendimiento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una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persona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sus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labores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cotidianas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o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el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estudio?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comunican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5B5DA5" w:rsidRPr="0062500E">
              <w:rPr>
                <w:rFonts w:ascii="Century Gothic" w:hAnsi="Century Gothic" w:cs="Cambria"/>
                <w:sz w:val="20"/>
                <w:szCs w:val="20"/>
              </w:rPr>
              <w:t>y anotan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ideas.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</w:p>
          <w:p w14:paraId="13079F0C" w14:textId="77777777" w:rsidR="009E4E1D" w:rsidRDefault="005B5DA5" w:rsidP="005B5DA5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62500E">
              <w:rPr>
                <w:rFonts w:ascii="Century Gothic" w:hAnsi="Century Gothic" w:cs="Cambria"/>
                <w:sz w:val="20"/>
                <w:szCs w:val="20"/>
              </w:rPr>
              <w:t>Se continúa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,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planteando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otras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interrogantes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como: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¿cuáles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máquinas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h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creado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el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ser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humano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para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simplificar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sus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labores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cotidianas?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¿Cuáles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estas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máquinas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podemos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observar en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la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comunidad?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¿Cuáles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consideran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que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son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diferencias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entre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m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áquinas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q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ue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utilizaban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el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p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asado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y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que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utilizamos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62500E">
              <w:rPr>
                <w:rFonts w:ascii="Century Gothic" w:hAnsi="Century Gothic" w:cs="Cambria"/>
                <w:sz w:val="20"/>
                <w:szCs w:val="20"/>
              </w:rPr>
              <w:t>actualmente?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</w:p>
          <w:p w14:paraId="266D54AC" w14:textId="77777777" w:rsidR="006B43D6" w:rsidRPr="0062500E" w:rsidRDefault="001B4152" w:rsidP="005B5DA5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62500E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elaboran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dibujos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o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carteles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5B5DA5" w:rsidRPr="0062500E">
              <w:rPr>
                <w:rFonts w:ascii="Century Gothic" w:hAnsi="Century Gothic" w:cs="Cambria"/>
                <w:sz w:val="20"/>
                <w:szCs w:val="20"/>
              </w:rPr>
              <w:t>para comunicar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53167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ideas.</w:t>
            </w:r>
          </w:p>
        </w:tc>
        <w:tc>
          <w:tcPr>
            <w:tcW w:w="4796" w:type="dxa"/>
          </w:tcPr>
          <w:p w14:paraId="4B55FEA2" w14:textId="77777777" w:rsidR="009E4E1D" w:rsidRPr="001020AA" w:rsidRDefault="009E4E1D" w:rsidP="001020AA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1020AA">
              <w:rPr>
                <w:rFonts w:ascii="Century Gothic" w:hAnsi="Century Gothic"/>
                <w:sz w:val="20"/>
                <w:szCs w:val="20"/>
              </w:rPr>
              <w:lastRenderedPageBreak/>
              <w:t>Enumera fuentes de e</w:t>
            </w:r>
            <w:r w:rsidR="001020AA">
              <w:rPr>
                <w:rFonts w:ascii="Century Gothic" w:hAnsi="Century Gothic"/>
                <w:sz w:val="20"/>
                <w:szCs w:val="20"/>
              </w:rPr>
              <w:t>nergía para diferentes máquinas</w:t>
            </w:r>
          </w:p>
        </w:tc>
      </w:tr>
      <w:tr w:rsidR="006B43D6" w14:paraId="22581F93" w14:textId="77777777" w:rsidTr="00FD3DA3">
        <w:tc>
          <w:tcPr>
            <w:tcW w:w="4798" w:type="dxa"/>
          </w:tcPr>
          <w:p w14:paraId="55F29985" w14:textId="77777777" w:rsidR="006B43D6" w:rsidRDefault="00844D94" w:rsidP="00740973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Distinguir</w:t>
            </w:r>
            <w:r w:rsidR="006B43D6">
              <w:rPr>
                <w:rFonts w:ascii="Century Gothic" w:hAnsi="Century Gothic"/>
                <w:sz w:val="20"/>
                <w:szCs w:val="20"/>
              </w:rPr>
              <w:t xml:space="preserve"> las máquinas de uso cotidiano en el centro educativo, el hogar o la comunidad y el manejo adecuado.</w:t>
            </w:r>
          </w:p>
          <w:p w14:paraId="21DB4A0A" w14:textId="56F871AF" w:rsidR="00D85356" w:rsidRPr="00740973" w:rsidRDefault="00D85356" w:rsidP="00740973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4796" w:type="dxa"/>
          </w:tcPr>
          <w:p w14:paraId="74B4333A" w14:textId="77777777" w:rsidR="0062500E" w:rsidRDefault="001B4152" w:rsidP="005B5DA5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62500E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subgrupos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facilitan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rompecabezas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máquinas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(bicicleta,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grúa,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mecanismos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relojes,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5B5DA5" w:rsidRPr="0062500E">
              <w:rPr>
                <w:rFonts w:ascii="Century Gothic" w:hAnsi="Century Gothic" w:cs="Cambria"/>
                <w:sz w:val="20"/>
                <w:szCs w:val="20"/>
              </w:rPr>
              <w:t>máquina de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moler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maíz,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arado,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excavadoras,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entre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otras),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para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que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los(as)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estudiantes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puedan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armar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figuras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correspondientes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a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partir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sus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partes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62500E">
              <w:rPr>
                <w:rFonts w:ascii="Century Gothic" w:hAnsi="Century Gothic" w:cs="Cambria"/>
                <w:sz w:val="20"/>
                <w:szCs w:val="20"/>
              </w:rPr>
              <w:t>simples.</w:t>
            </w:r>
            <w:r w:rsidR="0062500E" w:rsidRPr="0062500E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</w:p>
          <w:p w14:paraId="401E30DB" w14:textId="77777777" w:rsidR="00DB21CA" w:rsidRDefault="001B4152" w:rsidP="005B5DA5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0A2FD8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exponen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los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rompecabezas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armados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a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todo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el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grupo.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P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or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medio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recursos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tecnológicos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(analógicos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o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digitales)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o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impresos,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cada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subgrupo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consulta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información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acerca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máquinas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simples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que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forman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parte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la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estructura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maquinas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compuestas.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consultan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otros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ejemplos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máquinas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compuestas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lastRenderedPageBreak/>
              <w:t>como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taladros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eléctricos,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máquinas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escribir,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juguetes,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herramientas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que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utilizan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la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agricultura,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m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edidas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seguridad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al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conducir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un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automóvil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o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motocicleta,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entre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otros.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</w:p>
          <w:p w14:paraId="614513E7" w14:textId="77777777" w:rsidR="00DB21CA" w:rsidRDefault="001B4152" w:rsidP="005B5DA5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0A2FD8">
              <w:rPr>
                <w:rFonts w:ascii="Century Gothic" w:hAnsi="Century Gothic" w:cs="Cambria"/>
                <w:sz w:val="20"/>
                <w:szCs w:val="20"/>
              </w:rPr>
              <w:t>Tomando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cuenta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los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rompecabezas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realizados,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cada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subgrupo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distingue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máquinas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simples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p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resentes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la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estructura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máquinas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compuestas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armadas.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exponen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y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anotan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A2FD8">
              <w:rPr>
                <w:rFonts w:ascii="Century Gothic" w:hAnsi="Century Gothic" w:cs="Cambria"/>
                <w:sz w:val="20"/>
                <w:szCs w:val="20"/>
              </w:rPr>
              <w:t>conclusiones.</w:t>
            </w:r>
            <w:r w:rsidR="0062500E" w:rsidRPr="000A2FD8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</w:p>
          <w:p w14:paraId="321976A9" w14:textId="77777777" w:rsidR="006B43D6" w:rsidRPr="00DB21CA" w:rsidRDefault="006B43D6" w:rsidP="00DB21CA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</w:p>
        </w:tc>
        <w:tc>
          <w:tcPr>
            <w:tcW w:w="4796" w:type="dxa"/>
          </w:tcPr>
          <w:p w14:paraId="15EA00E5" w14:textId="77777777" w:rsidR="006B43D6" w:rsidRDefault="009E4E1D" w:rsidP="009E4E1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Enumera máquinas que se utilizan en</w:t>
            </w:r>
            <w:r w:rsidR="00DB21CA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la vida cotidiana:</w:t>
            </w:r>
          </w:p>
          <w:p w14:paraId="4D312051" w14:textId="77777777" w:rsidR="009E4E1D" w:rsidRDefault="009E4E1D" w:rsidP="009E4E1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En la escuela</w:t>
            </w:r>
          </w:p>
          <w:p w14:paraId="70B19612" w14:textId="77777777" w:rsidR="009E4E1D" w:rsidRDefault="009E4E1D" w:rsidP="009E4E1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En la casa</w:t>
            </w:r>
          </w:p>
          <w:p w14:paraId="67D717CA" w14:textId="77777777" w:rsidR="009E4E1D" w:rsidRDefault="009E4E1D" w:rsidP="009E4E1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En la comunidad</w:t>
            </w:r>
          </w:p>
          <w:p w14:paraId="41B885E9" w14:textId="77777777" w:rsidR="009E4E1D" w:rsidRDefault="009E4E1D" w:rsidP="009E4E1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Determina el uso adecuado que debe dársele a las máquinas.</w:t>
            </w:r>
          </w:p>
          <w:p w14:paraId="5EF61A34" w14:textId="77777777" w:rsidR="00DB21CA" w:rsidRPr="009E4E1D" w:rsidRDefault="00DB21CA" w:rsidP="009E4E1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Determina la diferencia entre máquina simple y máquina compuesta. </w:t>
            </w:r>
          </w:p>
        </w:tc>
      </w:tr>
      <w:tr w:rsidR="006B43D6" w14:paraId="7139B615" w14:textId="77777777" w:rsidTr="00FD3DA3">
        <w:tc>
          <w:tcPr>
            <w:tcW w:w="4798" w:type="dxa"/>
          </w:tcPr>
          <w:p w14:paraId="4BD18F52" w14:textId="77777777" w:rsidR="00D85356" w:rsidRDefault="00844D94" w:rsidP="00740973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Tomar conciencia </w:t>
            </w:r>
            <w:r w:rsidR="00483240">
              <w:rPr>
                <w:rFonts w:ascii="Century Gothic" w:hAnsi="Century Gothic"/>
                <w:sz w:val="20"/>
                <w:szCs w:val="20"/>
              </w:rPr>
              <w:t>que el manejo adecuado de algunas máquinas contribuye con el uso racional de la energía.</w:t>
            </w:r>
          </w:p>
          <w:p w14:paraId="29C00659" w14:textId="417424F1" w:rsidR="006B43D6" w:rsidRPr="00740973" w:rsidRDefault="00D85356" w:rsidP="00740973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  <w:r w:rsidR="00483240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4796" w:type="dxa"/>
          </w:tcPr>
          <w:p w14:paraId="46C043CC" w14:textId="77777777" w:rsidR="00DB21CA" w:rsidRDefault="001B4152" w:rsidP="00DB21C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DB21CA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subgrupos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observan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imágenes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máquinas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como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bicicletas,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patinetas,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patines,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carruajes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antiguos,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automóviles,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motocicletas,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automóviles,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juguetes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que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utilizan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baterías,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entre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otros.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anotan: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¿cuáles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ventajas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y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desventajas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ofrece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el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uso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estas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máquinas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al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020AA" w:rsidRPr="00DB21CA">
              <w:rPr>
                <w:rFonts w:ascii="Century Gothic" w:hAnsi="Century Gothic" w:cs="Cambria"/>
                <w:sz w:val="20"/>
                <w:szCs w:val="20"/>
              </w:rPr>
              <w:t>cuidado del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ambiente?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¿Cuál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fuente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energía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utilizan?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</w:p>
          <w:p w14:paraId="58F5BD2D" w14:textId="77777777" w:rsidR="00DB21CA" w:rsidRDefault="001B4152" w:rsidP="00DB21C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elaboran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cuadros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comparativos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c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on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ventajas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y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020AA" w:rsidRPr="00DB21CA">
              <w:rPr>
                <w:rFonts w:ascii="Century Gothic" w:hAnsi="Century Gothic" w:cs="Cambria"/>
                <w:sz w:val="20"/>
                <w:szCs w:val="20"/>
              </w:rPr>
              <w:t>desventajas y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comunica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ideas.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020AA" w:rsidRPr="00DB21CA">
              <w:rPr>
                <w:rFonts w:ascii="Century Gothic" w:hAnsi="Century Gothic" w:cs="Cambria"/>
                <w:sz w:val="20"/>
                <w:szCs w:val="20"/>
              </w:rPr>
              <w:t>consulta información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libros,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lecturas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o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videos,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acerca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los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residuos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generados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por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baterías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y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los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combustibles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y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su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impacto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el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ambiente.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reflexiona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020AA" w:rsidRPr="00DB21CA">
              <w:rPr>
                <w:rFonts w:ascii="Century Gothic" w:hAnsi="Century Gothic" w:cs="Cambria"/>
                <w:sz w:val="20"/>
                <w:szCs w:val="20"/>
              </w:rPr>
              <w:t>partir de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los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cuadros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comparativos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realizados: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¿qué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tipo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máquinas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más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conveniente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utilizar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para</w:t>
            </w:r>
            <w:r w:rsidR="002706BE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beneficiar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al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ambiente?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¿Qué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relación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tiene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el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manejo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este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tipo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máquinas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con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el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uso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racional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la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energía?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registran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conclusiones.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</w:p>
          <w:p w14:paraId="66675FE8" w14:textId="77777777" w:rsidR="00DB21CA" w:rsidRDefault="001B4152" w:rsidP="00DB21C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DB21CA">
              <w:rPr>
                <w:rFonts w:ascii="Century Gothic" w:hAnsi="Century Gothic" w:cs="Cambria"/>
                <w:sz w:val="20"/>
                <w:szCs w:val="20"/>
              </w:rPr>
              <w:t>Cada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estudiante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anota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acciones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que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p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ueden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r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ealizar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su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hogar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para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promover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un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manejo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adecuado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algunas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máquinas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uso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cotidiano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y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contribuir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con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el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uso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racional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la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energía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eléctrica.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</w:p>
          <w:p w14:paraId="26D72B16" w14:textId="77777777" w:rsidR="006B43D6" w:rsidRPr="00DB21CA" w:rsidRDefault="001B4152" w:rsidP="00DB21C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DB21CA">
              <w:rPr>
                <w:rFonts w:ascii="Century Gothic" w:hAnsi="Century Gothic" w:cs="Cambria"/>
                <w:sz w:val="20"/>
                <w:szCs w:val="20"/>
              </w:rPr>
              <w:lastRenderedPageBreak/>
              <w:t>En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plenaria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comparten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acciones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propuestas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y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elabora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una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lista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básica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acciones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que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comprometen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realizar.</w:t>
            </w:r>
            <w:r w:rsidR="004F14D7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</w:p>
        </w:tc>
        <w:tc>
          <w:tcPr>
            <w:tcW w:w="4796" w:type="dxa"/>
          </w:tcPr>
          <w:p w14:paraId="279CC2BC" w14:textId="77777777" w:rsidR="00DB21CA" w:rsidRDefault="00DB21CA" w:rsidP="00DB21C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Determina el uso adecuado que debe dársele a las máquinas para hacer uso racional de la energía.</w:t>
            </w:r>
          </w:p>
          <w:p w14:paraId="43E774AC" w14:textId="77777777" w:rsidR="00DB21CA" w:rsidRDefault="00DB21CA" w:rsidP="00DB21C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Enumera acciones que se pueden aplicar en el hogar para un uso adecuado de las máquinas y hacer uso racional de la energía.</w:t>
            </w:r>
          </w:p>
          <w:p w14:paraId="2173C42D" w14:textId="77777777" w:rsidR="006B43D6" w:rsidRDefault="006B43D6" w:rsidP="00740973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B43D6" w14:paraId="620B6C4F" w14:textId="77777777" w:rsidTr="00FD3DA3">
        <w:tc>
          <w:tcPr>
            <w:tcW w:w="4798" w:type="dxa"/>
          </w:tcPr>
          <w:p w14:paraId="3C572F67" w14:textId="77777777" w:rsidR="006B43D6" w:rsidRDefault="001B4152" w:rsidP="000C35B5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0C35B5">
              <w:rPr>
                <w:rFonts w:ascii="Century Gothic" w:hAnsi="Century Gothic" w:cs="Cambria"/>
                <w:sz w:val="20"/>
                <w:szCs w:val="20"/>
              </w:rPr>
              <w:t>Identificar</w:t>
            </w:r>
            <w:r w:rsidR="000C35B5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C35B5">
              <w:rPr>
                <w:rFonts w:ascii="Century Gothic" w:hAnsi="Century Gothic" w:cs="Cambria"/>
                <w:sz w:val="20"/>
                <w:szCs w:val="20"/>
              </w:rPr>
              <w:t>los</w:t>
            </w:r>
            <w:r w:rsidR="000C35B5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C35B5">
              <w:rPr>
                <w:rFonts w:ascii="Century Gothic" w:hAnsi="Century Gothic" w:cs="Cambria"/>
                <w:sz w:val="20"/>
                <w:szCs w:val="20"/>
              </w:rPr>
              <w:t>riegos</w:t>
            </w:r>
            <w:r w:rsidR="000C35B5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C35B5">
              <w:rPr>
                <w:rFonts w:ascii="Century Gothic" w:hAnsi="Century Gothic" w:cs="Cambria"/>
                <w:sz w:val="20"/>
                <w:szCs w:val="20"/>
              </w:rPr>
              <w:t>del</w:t>
            </w:r>
            <w:r w:rsidR="000C35B5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C35B5">
              <w:rPr>
                <w:rFonts w:ascii="Century Gothic" w:hAnsi="Century Gothic" w:cs="Cambria"/>
                <w:sz w:val="20"/>
                <w:szCs w:val="20"/>
              </w:rPr>
              <w:t>uso</w:t>
            </w:r>
            <w:r w:rsidR="000C35B5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C35B5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0C35B5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C35B5">
              <w:rPr>
                <w:rFonts w:ascii="Century Gothic" w:hAnsi="Century Gothic" w:cs="Cambria"/>
                <w:sz w:val="20"/>
                <w:szCs w:val="20"/>
              </w:rPr>
              <w:t>algunas</w:t>
            </w:r>
            <w:r w:rsidR="000C35B5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C35B5">
              <w:rPr>
                <w:rFonts w:ascii="Century Gothic" w:hAnsi="Century Gothic" w:cs="Cambria"/>
                <w:sz w:val="20"/>
                <w:szCs w:val="20"/>
              </w:rPr>
              <w:t>máquinas</w:t>
            </w:r>
            <w:r w:rsidR="000C35B5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C35B5">
              <w:rPr>
                <w:rFonts w:ascii="Century Gothic" w:hAnsi="Century Gothic" w:cs="Cambria"/>
                <w:sz w:val="20"/>
                <w:szCs w:val="20"/>
              </w:rPr>
              <w:t>y</w:t>
            </w:r>
            <w:r w:rsidR="000C35B5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C35B5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0C35B5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C35B5">
              <w:rPr>
                <w:rFonts w:ascii="Century Gothic" w:hAnsi="Century Gothic" w:cs="Cambria"/>
                <w:sz w:val="20"/>
                <w:szCs w:val="20"/>
              </w:rPr>
              <w:t>formas</w:t>
            </w:r>
            <w:r w:rsidR="000C35B5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C35B5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0C35B5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C35B5">
              <w:rPr>
                <w:rFonts w:ascii="Century Gothic" w:hAnsi="Century Gothic" w:cs="Cambria"/>
                <w:sz w:val="20"/>
                <w:szCs w:val="20"/>
              </w:rPr>
              <w:t>prevención</w:t>
            </w:r>
            <w:r w:rsidR="000C35B5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C35B5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0C35B5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C35B5">
              <w:rPr>
                <w:rFonts w:ascii="Century Gothic" w:hAnsi="Century Gothic" w:cs="Cambria"/>
                <w:sz w:val="20"/>
                <w:szCs w:val="20"/>
              </w:rPr>
              <w:t>accidentes</w:t>
            </w:r>
            <w:r w:rsidR="000C35B5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C35B5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0C35B5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C35B5">
              <w:rPr>
                <w:rFonts w:ascii="Century Gothic" w:hAnsi="Century Gothic" w:cs="Cambria"/>
                <w:sz w:val="20"/>
                <w:szCs w:val="20"/>
              </w:rPr>
              <w:t>situaciones</w:t>
            </w:r>
            <w:r w:rsidR="000C35B5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0C35B5">
              <w:rPr>
                <w:rFonts w:ascii="Century Gothic" w:hAnsi="Century Gothic" w:cs="Cambria"/>
                <w:sz w:val="20"/>
                <w:szCs w:val="20"/>
              </w:rPr>
              <w:t>cotidianas.</w:t>
            </w:r>
          </w:p>
          <w:p w14:paraId="4E0B2543" w14:textId="77C24B78" w:rsidR="00D85356" w:rsidRPr="000C35B5" w:rsidRDefault="00D85356" w:rsidP="000C35B5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Cambria"/>
                <w:sz w:val="20"/>
                <w:szCs w:val="20"/>
              </w:rPr>
              <w:t>4</w:t>
            </w:r>
          </w:p>
        </w:tc>
        <w:tc>
          <w:tcPr>
            <w:tcW w:w="4796" w:type="dxa"/>
          </w:tcPr>
          <w:p w14:paraId="1CA148E5" w14:textId="77777777" w:rsidR="00DB21CA" w:rsidRDefault="001B4152" w:rsidP="00DB21C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retoman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máquinas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uso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cotidiano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que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mencionaron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los(as)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estudiantes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la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actividad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anterior.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</w:p>
          <w:p w14:paraId="72762C97" w14:textId="77777777" w:rsidR="00DB21CA" w:rsidRDefault="000C35B5" w:rsidP="00DB21C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subgrupos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asignan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diferentes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imágenes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máquinas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uso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cotidiano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como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tijeras,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grapadoras,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sacabocados,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abridor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latas,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entre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otros.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 S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e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elabora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una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lista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con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algunas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formas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prevenir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accidentes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según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la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maquina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asignada.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o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rganizan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exposiciones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para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comunicar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sugerencias.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</w:p>
          <w:p w14:paraId="3A998DEC" w14:textId="77777777" w:rsidR="00DB21CA" w:rsidRDefault="001B4152" w:rsidP="00DB21C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consulta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fuentes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información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carácter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científico,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respecto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maneras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evitar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r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iesgos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cuando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utilizan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máquinas,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como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cortaduras,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quebraduras,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quemaduras,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golpes,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entre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otros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y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formas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prevenir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accidentes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c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on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el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uso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m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áquinas.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reflexiona: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¿cuáles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otras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medidas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prevención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pueden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incorporar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l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as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listas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elaboradas?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</w:p>
          <w:p w14:paraId="2FE67452" w14:textId="77777777" w:rsidR="006B43D6" w:rsidRPr="00DB21CA" w:rsidRDefault="001B4152" w:rsidP="00DB21C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registran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0C35B5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conclusiones.</w:t>
            </w:r>
          </w:p>
        </w:tc>
        <w:tc>
          <w:tcPr>
            <w:tcW w:w="4796" w:type="dxa"/>
          </w:tcPr>
          <w:p w14:paraId="3709429C" w14:textId="77777777" w:rsidR="00DB21CA" w:rsidRDefault="00DB21CA" w:rsidP="00DB21C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Enumera medidas de prevención en el uso de las máquinas. </w:t>
            </w:r>
          </w:p>
          <w:p w14:paraId="794D25D2" w14:textId="77777777" w:rsidR="00DB21CA" w:rsidRDefault="00DB21CA" w:rsidP="00DB21C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Determina formas de evitar accidentes con el uso de las máquinas que se utilizan en el aula. </w:t>
            </w:r>
          </w:p>
          <w:p w14:paraId="1FB0F09D" w14:textId="77777777" w:rsidR="006B43D6" w:rsidRPr="000C35B5" w:rsidRDefault="006B43D6" w:rsidP="000C35B5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B4152" w14:paraId="375764AD" w14:textId="77777777" w:rsidTr="00FD3DA3">
        <w:tc>
          <w:tcPr>
            <w:tcW w:w="4798" w:type="dxa"/>
          </w:tcPr>
          <w:p w14:paraId="7D2D0F55" w14:textId="77777777" w:rsidR="001B4152" w:rsidRDefault="001B4152" w:rsidP="005333D0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5333D0">
              <w:rPr>
                <w:rFonts w:ascii="Century Gothic" w:hAnsi="Century Gothic" w:cs="Cambria"/>
                <w:sz w:val="20"/>
                <w:szCs w:val="20"/>
              </w:rPr>
              <w:t>Distinguir</w:t>
            </w:r>
            <w:r w:rsidR="005333D0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5333D0">
              <w:rPr>
                <w:rFonts w:ascii="Century Gothic" w:hAnsi="Century Gothic" w:cs="Cambria"/>
                <w:sz w:val="20"/>
                <w:szCs w:val="20"/>
              </w:rPr>
              <w:t>algunas</w:t>
            </w:r>
            <w:r w:rsidR="005333D0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5333D0">
              <w:rPr>
                <w:rFonts w:ascii="Century Gothic" w:hAnsi="Century Gothic" w:cs="Cambria"/>
                <w:sz w:val="20"/>
                <w:szCs w:val="20"/>
              </w:rPr>
              <w:t>ventajas</w:t>
            </w:r>
            <w:r w:rsidR="005333D0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5333D0">
              <w:rPr>
                <w:rFonts w:ascii="Century Gothic" w:hAnsi="Century Gothic" w:cs="Cambria"/>
                <w:sz w:val="20"/>
                <w:szCs w:val="20"/>
              </w:rPr>
              <w:t>y</w:t>
            </w:r>
            <w:r w:rsidR="005333D0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5333D0">
              <w:rPr>
                <w:rFonts w:ascii="Century Gothic" w:hAnsi="Century Gothic" w:cs="Cambria"/>
                <w:sz w:val="20"/>
                <w:szCs w:val="20"/>
              </w:rPr>
              <w:t>desventajas</w:t>
            </w:r>
            <w:r w:rsidR="005333D0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5333D0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5333D0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5333D0">
              <w:rPr>
                <w:rFonts w:ascii="Century Gothic" w:hAnsi="Century Gothic" w:cs="Cambria"/>
                <w:sz w:val="20"/>
                <w:szCs w:val="20"/>
              </w:rPr>
              <w:t>los</w:t>
            </w:r>
            <w:r w:rsidR="005333D0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5333D0">
              <w:rPr>
                <w:rFonts w:ascii="Century Gothic" w:hAnsi="Century Gothic" w:cs="Cambria"/>
                <w:sz w:val="20"/>
                <w:szCs w:val="20"/>
              </w:rPr>
              <w:t>adelantos</w:t>
            </w:r>
            <w:r w:rsidR="005333D0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5333D0">
              <w:rPr>
                <w:rFonts w:ascii="Century Gothic" w:hAnsi="Century Gothic" w:cs="Cambria"/>
                <w:sz w:val="20"/>
                <w:szCs w:val="20"/>
              </w:rPr>
              <w:t>científicos</w:t>
            </w:r>
            <w:r w:rsidR="005333D0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5333D0">
              <w:rPr>
                <w:rFonts w:ascii="Century Gothic" w:hAnsi="Century Gothic" w:cs="Cambria"/>
                <w:sz w:val="20"/>
                <w:szCs w:val="20"/>
              </w:rPr>
              <w:t>y</w:t>
            </w:r>
            <w:r w:rsidR="005333D0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5333D0">
              <w:rPr>
                <w:rFonts w:ascii="Century Gothic" w:hAnsi="Century Gothic" w:cs="Cambria"/>
                <w:sz w:val="20"/>
                <w:szCs w:val="20"/>
              </w:rPr>
              <w:t>tecnológicos</w:t>
            </w:r>
            <w:r w:rsidR="005333D0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5333D0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5333D0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5333D0">
              <w:rPr>
                <w:rFonts w:ascii="Century Gothic" w:hAnsi="Century Gothic" w:cs="Cambria"/>
                <w:sz w:val="20"/>
                <w:szCs w:val="20"/>
              </w:rPr>
              <w:t>la</w:t>
            </w:r>
            <w:r w:rsidR="005333D0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5333D0">
              <w:rPr>
                <w:rFonts w:ascii="Century Gothic" w:hAnsi="Century Gothic" w:cs="Cambria"/>
                <w:sz w:val="20"/>
                <w:szCs w:val="20"/>
              </w:rPr>
              <w:t>construcción</w:t>
            </w:r>
            <w:r w:rsidR="005333D0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5333D0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5333D0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5333D0">
              <w:rPr>
                <w:rFonts w:ascii="Century Gothic" w:hAnsi="Century Gothic" w:cs="Cambria"/>
                <w:sz w:val="20"/>
                <w:szCs w:val="20"/>
              </w:rPr>
              <w:t>máquinas,</w:t>
            </w:r>
            <w:r w:rsidR="005333D0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5333D0">
              <w:rPr>
                <w:rFonts w:ascii="Century Gothic" w:hAnsi="Century Gothic" w:cs="Cambria"/>
                <w:sz w:val="20"/>
                <w:szCs w:val="20"/>
              </w:rPr>
              <w:t>a</w:t>
            </w:r>
            <w:r w:rsidR="005333D0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5333D0">
              <w:rPr>
                <w:rFonts w:ascii="Century Gothic" w:hAnsi="Century Gothic" w:cs="Cambria"/>
                <w:sz w:val="20"/>
                <w:szCs w:val="20"/>
              </w:rPr>
              <w:t>partir</w:t>
            </w:r>
            <w:r w:rsidR="005333D0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5333D0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5333D0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5333D0">
              <w:rPr>
                <w:rFonts w:ascii="Century Gothic" w:hAnsi="Century Gothic" w:cs="Cambria"/>
                <w:sz w:val="20"/>
                <w:szCs w:val="20"/>
              </w:rPr>
              <w:t>diferentes</w:t>
            </w:r>
            <w:r w:rsidR="005333D0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5333D0">
              <w:rPr>
                <w:rFonts w:ascii="Century Gothic" w:hAnsi="Century Gothic" w:cs="Cambria"/>
                <w:sz w:val="20"/>
                <w:szCs w:val="20"/>
              </w:rPr>
              <w:t>materiales.</w:t>
            </w:r>
          </w:p>
          <w:p w14:paraId="6B46F228" w14:textId="44B22B49" w:rsidR="00D85356" w:rsidRPr="005333D0" w:rsidRDefault="00D85356" w:rsidP="005333D0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>
              <w:rPr>
                <w:rFonts w:ascii="Century Gothic" w:hAnsi="Century Gothic" w:cs="Cambria"/>
                <w:sz w:val="20"/>
                <w:szCs w:val="20"/>
              </w:rPr>
              <w:t>5</w:t>
            </w:r>
          </w:p>
        </w:tc>
        <w:tc>
          <w:tcPr>
            <w:tcW w:w="4796" w:type="dxa"/>
          </w:tcPr>
          <w:p w14:paraId="1BC4D21C" w14:textId="77777777" w:rsidR="00DB21CA" w:rsidRDefault="001B4152" w:rsidP="00DB21C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presenta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la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imagen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una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persona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realizando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labores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agricultura.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Cada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estudiante,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forma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individual,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indica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medidas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precaución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que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debe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realizar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la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persona,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para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evitar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accidentes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con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máquinas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uso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agrícola.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plenaria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socializan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y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anotan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ideas.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prosigue,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planteando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interrogantes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como: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¿de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qué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tipo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material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están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fabricadas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mayorías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máquinas?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¿En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cuáles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países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fabrican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la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mayoría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máquinas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que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utilizamos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forma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cotidiana?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 S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registran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las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ideas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subgrupos y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socializan.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</w:p>
          <w:p w14:paraId="68BD2D19" w14:textId="77777777" w:rsidR="00DB21CA" w:rsidRDefault="001B4152" w:rsidP="00DB21C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DB21CA">
              <w:rPr>
                <w:rFonts w:ascii="Century Gothic" w:hAnsi="Century Gothic" w:cs="Cambria"/>
                <w:sz w:val="20"/>
                <w:szCs w:val="20"/>
              </w:rPr>
              <w:lastRenderedPageBreak/>
              <w:t>En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subgrupos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brindan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lecturas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con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información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los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países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que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e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xportan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mayor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cantidad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acero,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hierro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y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>plástico.</w:t>
            </w:r>
          </w:p>
          <w:p w14:paraId="3C780960" w14:textId="77777777" w:rsidR="00904CE5" w:rsidRDefault="00BE7822" w:rsidP="00DB21C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Con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apoyo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un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mapamundi,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l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os(as)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estudiantes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marcan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con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puntos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la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localización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estos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países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y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señala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la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ubicación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Costa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Rica,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discutiendo: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¿qué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relación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tiene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la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distancia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que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020AA" w:rsidRPr="00DB21CA">
              <w:rPr>
                <w:rFonts w:ascii="Century Gothic" w:hAnsi="Century Gothic" w:cs="Cambria"/>
                <w:sz w:val="20"/>
                <w:szCs w:val="20"/>
              </w:rPr>
              <w:t>se debe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020AA" w:rsidRPr="00DB21CA">
              <w:rPr>
                <w:rFonts w:ascii="Century Gothic" w:hAnsi="Century Gothic" w:cs="Cambria"/>
                <w:sz w:val="20"/>
                <w:szCs w:val="20"/>
              </w:rPr>
              <w:t>recorrer para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trasladar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estos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materiales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hasta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nuestro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país,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con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el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precio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que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pagan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al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020AA" w:rsidRPr="00DB21CA">
              <w:rPr>
                <w:rFonts w:ascii="Century Gothic" w:hAnsi="Century Gothic" w:cs="Cambria"/>
                <w:sz w:val="20"/>
                <w:szCs w:val="20"/>
              </w:rPr>
              <w:t>comprar máquinas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020AA" w:rsidRPr="00DB21CA">
              <w:rPr>
                <w:rFonts w:ascii="Century Gothic" w:hAnsi="Century Gothic" w:cs="Cambria"/>
                <w:sz w:val="20"/>
                <w:szCs w:val="20"/>
              </w:rPr>
              <w:t>fabricadas con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acero,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hierro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o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plástico?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organizan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exposiciones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para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020AA" w:rsidRPr="00DB21CA">
              <w:rPr>
                <w:rFonts w:ascii="Century Gothic" w:hAnsi="Century Gothic" w:cs="Cambria"/>
                <w:sz w:val="20"/>
                <w:szCs w:val="20"/>
              </w:rPr>
              <w:t>comunicar las</w:t>
            </w:r>
            <w:r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 xml:space="preserve">ideas. </w:t>
            </w:r>
          </w:p>
          <w:p w14:paraId="640C73ED" w14:textId="77777777" w:rsidR="001B4152" w:rsidRPr="00904CE5" w:rsidRDefault="001020AA" w:rsidP="00904CE5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 w:cs="Cambria"/>
                <w:sz w:val="20"/>
                <w:szCs w:val="20"/>
              </w:rPr>
            </w:pPr>
            <w:r w:rsidRPr="00DB21CA">
              <w:rPr>
                <w:rFonts w:ascii="Century Gothic" w:hAnsi="Century Gothic" w:cs="Cambria"/>
                <w:sz w:val="20"/>
                <w:szCs w:val="20"/>
              </w:rPr>
              <w:t>Por medio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lecturas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impresas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o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sitios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web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confiables,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cada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subgrupo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consulta</w:t>
            </w:r>
            <w:r w:rsidR="00BE7822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información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acerca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algunas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ventajas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y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desventajas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los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adelantos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científicos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y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tecnológicos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la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construcción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máquinas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con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diferentes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materiales.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Tomando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cuenta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la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información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consultada,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se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distinguen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otras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consecuencias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negativas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que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puede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causar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en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el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ambiente,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la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fabricación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c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iertas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máquinas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a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partir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de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acero,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hierro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y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  <w:r w:rsidR="001B4152" w:rsidRPr="00DB21CA">
              <w:rPr>
                <w:rFonts w:ascii="Century Gothic" w:hAnsi="Century Gothic" w:cs="Cambria"/>
                <w:sz w:val="20"/>
                <w:szCs w:val="20"/>
              </w:rPr>
              <w:t>plástico.</w:t>
            </w:r>
            <w:r w:rsidR="00BA1A63" w:rsidRPr="00DB21CA">
              <w:rPr>
                <w:rFonts w:ascii="Century Gothic" w:hAnsi="Century Gothic" w:cs="Cambria"/>
                <w:sz w:val="20"/>
                <w:szCs w:val="20"/>
              </w:rPr>
              <w:t xml:space="preserve"> </w:t>
            </w:r>
          </w:p>
        </w:tc>
        <w:tc>
          <w:tcPr>
            <w:tcW w:w="4796" w:type="dxa"/>
          </w:tcPr>
          <w:p w14:paraId="4CC832F3" w14:textId="77777777" w:rsidR="001B4152" w:rsidRPr="00904CE5" w:rsidRDefault="00904CE5" w:rsidP="00904CE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904CE5">
              <w:rPr>
                <w:rFonts w:ascii="Century Gothic" w:hAnsi="Century Gothic"/>
                <w:sz w:val="20"/>
                <w:szCs w:val="20"/>
              </w:rPr>
              <w:lastRenderedPageBreak/>
              <w:t>Distigue las ventajas y desventajas de los adelantos científicos y tecnológicos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en la construcción de máquinas. </w:t>
            </w:r>
          </w:p>
        </w:tc>
      </w:tr>
    </w:tbl>
    <w:p w14:paraId="2EBE16DE" w14:textId="77777777" w:rsidR="006364C4" w:rsidRPr="00062EBA" w:rsidRDefault="006364C4" w:rsidP="00497958">
      <w:pPr>
        <w:rPr>
          <w:rFonts w:ascii="Century Gothic" w:hAnsi="Century Gothic"/>
          <w:sz w:val="24"/>
          <w:szCs w:val="24"/>
        </w:rPr>
      </w:pPr>
    </w:p>
    <w:sectPr w:rsidR="006364C4" w:rsidRPr="00062EBA" w:rsidSect="006364C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99B"/>
    <w:multiLevelType w:val="hybridMultilevel"/>
    <w:tmpl w:val="F97A75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2686E"/>
    <w:multiLevelType w:val="hybridMultilevel"/>
    <w:tmpl w:val="4F2E1AF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E6A4D"/>
    <w:multiLevelType w:val="hybridMultilevel"/>
    <w:tmpl w:val="F97A75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A62FF"/>
    <w:multiLevelType w:val="hybridMultilevel"/>
    <w:tmpl w:val="F97A75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0634A"/>
    <w:multiLevelType w:val="hybridMultilevel"/>
    <w:tmpl w:val="5FCA49AC"/>
    <w:lvl w:ilvl="0" w:tplc="180281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9814C6"/>
    <w:multiLevelType w:val="hybridMultilevel"/>
    <w:tmpl w:val="58D693C4"/>
    <w:lvl w:ilvl="0" w:tplc="15D83DB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7C38CF"/>
    <w:multiLevelType w:val="hybridMultilevel"/>
    <w:tmpl w:val="87EAC2EE"/>
    <w:lvl w:ilvl="0" w:tplc="FAE49090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Cambria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22C58"/>
    <w:multiLevelType w:val="hybridMultilevel"/>
    <w:tmpl w:val="F2E28120"/>
    <w:lvl w:ilvl="0" w:tplc="2F124BD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Cambria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C664D"/>
    <w:multiLevelType w:val="hybridMultilevel"/>
    <w:tmpl w:val="7292D046"/>
    <w:lvl w:ilvl="0" w:tplc="54C6C10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480E16"/>
    <w:multiLevelType w:val="hybridMultilevel"/>
    <w:tmpl w:val="F3301026"/>
    <w:lvl w:ilvl="0" w:tplc="4FBEAA1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Cambria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62F80"/>
    <w:multiLevelType w:val="hybridMultilevel"/>
    <w:tmpl w:val="674C4EDC"/>
    <w:lvl w:ilvl="0" w:tplc="266EB9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FD6B3D"/>
    <w:multiLevelType w:val="hybridMultilevel"/>
    <w:tmpl w:val="18B6459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10"/>
  </w:num>
  <w:num w:numId="9">
    <w:abstractNumId w:val="0"/>
  </w:num>
  <w:num w:numId="10">
    <w:abstractNumId w:val="7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4C4"/>
    <w:rsid w:val="000007D9"/>
    <w:rsid w:val="00062EBA"/>
    <w:rsid w:val="000741C1"/>
    <w:rsid w:val="00081633"/>
    <w:rsid w:val="000A2FD8"/>
    <w:rsid w:val="000C35B5"/>
    <w:rsid w:val="000D01C8"/>
    <w:rsid w:val="001020AA"/>
    <w:rsid w:val="001A63C3"/>
    <w:rsid w:val="001B4152"/>
    <w:rsid w:val="0022005B"/>
    <w:rsid w:val="002618B6"/>
    <w:rsid w:val="00261C21"/>
    <w:rsid w:val="002706BE"/>
    <w:rsid w:val="002D7ED5"/>
    <w:rsid w:val="00326693"/>
    <w:rsid w:val="003739CE"/>
    <w:rsid w:val="003B58BC"/>
    <w:rsid w:val="00482730"/>
    <w:rsid w:val="00483240"/>
    <w:rsid w:val="00497958"/>
    <w:rsid w:val="004E6558"/>
    <w:rsid w:val="004F14D7"/>
    <w:rsid w:val="004F52DA"/>
    <w:rsid w:val="00517916"/>
    <w:rsid w:val="0053167E"/>
    <w:rsid w:val="005333D0"/>
    <w:rsid w:val="0058424B"/>
    <w:rsid w:val="005B5DA5"/>
    <w:rsid w:val="005C4569"/>
    <w:rsid w:val="0060289D"/>
    <w:rsid w:val="0062500E"/>
    <w:rsid w:val="0062769A"/>
    <w:rsid w:val="006364C4"/>
    <w:rsid w:val="006B43D6"/>
    <w:rsid w:val="00707948"/>
    <w:rsid w:val="00732B83"/>
    <w:rsid w:val="00740973"/>
    <w:rsid w:val="00844D94"/>
    <w:rsid w:val="0087665C"/>
    <w:rsid w:val="00904CE5"/>
    <w:rsid w:val="0092010C"/>
    <w:rsid w:val="009E4E1D"/>
    <w:rsid w:val="00A14B6E"/>
    <w:rsid w:val="00A64EDF"/>
    <w:rsid w:val="00AC0049"/>
    <w:rsid w:val="00B842FC"/>
    <w:rsid w:val="00BA1A63"/>
    <w:rsid w:val="00BE7822"/>
    <w:rsid w:val="00C01C25"/>
    <w:rsid w:val="00C8337C"/>
    <w:rsid w:val="00D85356"/>
    <w:rsid w:val="00DB21CA"/>
    <w:rsid w:val="00DF2290"/>
    <w:rsid w:val="00E1506D"/>
    <w:rsid w:val="00E80A49"/>
    <w:rsid w:val="00E81682"/>
    <w:rsid w:val="00ED08A7"/>
    <w:rsid w:val="00F00DD8"/>
    <w:rsid w:val="00F13AE2"/>
    <w:rsid w:val="00F60FD1"/>
    <w:rsid w:val="00F63058"/>
    <w:rsid w:val="00FA7DC7"/>
    <w:rsid w:val="00FD3DA3"/>
    <w:rsid w:val="00FE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5B8E"/>
  <w15:docId w15:val="{E12643F2-12EB-431C-AAB0-DE8DF49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64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8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5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C0B12-78CE-4B20-8843-10A6A6A99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1242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MONICA</dc:creator>
  <cp:lastModifiedBy>Fabricio Vindas Hernandez</cp:lastModifiedBy>
  <cp:revision>9</cp:revision>
  <dcterms:created xsi:type="dcterms:W3CDTF">2019-08-31T22:47:00Z</dcterms:created>
  <dcterms:modified xsi:type="dcterms:W3CDTF">2020-02-04T22:04:00Z</dcterms:modified>
</cp:coreProperties>
</file>