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56FE" w14:textId="77777777" w:rsidR="00917121" w:rsidRDefault="00000000">
      <w:pPr>
        <w:jc w:val="center"/>
      </w:pPr>
      <w:r>
        <w:rPr>
          <w:b/>
          <w:color w:val="17324D"/>
          <w:sz w:val="54"/>
        </w:rPr>
        <w:t>MEDICAL PLATFORM</w:t>
      </w:r>
      <w:r>
        <w:rPr>
          <w:b/>
          <w:color w:val="17324D"/>
          <w:sz w:val="54"/>
        </w:rPr>
        <w:br/>
        <w:t>BUSINESS &amp; DATA ANALYSIS REPORT</w:t>
      </w:r>
    </w:p>
    <w:p w14:paraId="41DE1EF9" w14:textId="77777777" w:rsidR="00917121" w:rsidRDefault="00000000">
      <w:pPr>
        <w:jc w:val="center"/>
      </w:pPr>
      <w:r>
        <w:rPr>
          <w:color w:val="3C8D8A"/>
          <w:sz w:val="30"/>
        </w:rPr>
        <w:t>Executive analysis del report Power BI</w:t>
      </w:r>
    </w:p>
    <w:p w14:paraId="015701FD" w14:textId="77777777" w:rsidR="00917121" w:rsidRDefault="00917121"/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7121" w:rsidRPr="00FB162B" w14:paraId="0863736F" w14:textId="77777777">
        <w:tc>
          <w:tcPr>
            <w:tcW w:w="10224" w:type="dxa"/>
            <w:shd w:val="clear" w:color="auto" w:fill="EAF1F5"/>
          </w:tcPr>
          <w:p w14:paraId="01F3FDFD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b/>
                <w:color w:val="17324D"/>
                <w:sz w:val="22"/>
                <w:lang w:val="it-IT"/>
              </w:rPr>
              <w:t>Executive message</w:t>
            </w:r>
            <w:r w:rsidRPr="00E1661C">
              <w:rPr>
                <w:sz w:val="19"/>
                <w:lang w:val="it-IT"/>
              </w:rPr>
              <w:br/>
            </w:r>
            <w:r w:rsidRPr="00E1661C">
              <w:rPr>
                <w:sz w:val="22"/>
                <w:lang w:val="it-IT"/>
              </w:rPr>
              <w:t>Il modello simulato rappresenta una piattaforma regionale di servizi medici nel Lazio. L'analisi evidenzia un business stabile, una forte concentrazione del valore su Roma e sulle specialità a maggiore ticket e soprattutto un'opportunità concreta di riduzione dei no-show attraverso una gestione più sistematica dei reminder.</w:t>
            </w:r>
          </w:p>
        </w:tc>
      </w:tr>
    </w:tbl>
    <w:p w14:paraId="3B7C0B3A" w14:textId="38514A3A" w:rsidR="003C7C8A" w:rsidRPr="00E1661C" w:rsidRDefault="003C7C8A">
      <w:pPr>
        <w:rPr>
          <w:lang w:val="it-IT"/>
        </w:rPr>
      </w:pPr>
      <w:r>
        <w:rPr>
          <w:lang w:val="it-IT"/>
        </w:rPr>
        <w:br/>
      </w:r>
    </w:p>
    <w:tbl>
      <w:tblPr>
        <w:tblW w:w="9026" w:type="dxa"/>
        <w:tblInd w:w="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C7C8A" w14:paraId="7324940E" w14:textId="77777777" w:rsidTr="003C7C8A">
        <w:trPr>
          <w:trHeight w:val="423"/>
        </w:trPr>
        <w:tc>
          <w:tcPr>
            <w:tcW w:w="2500" w:type="dxa"/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77EE" w14:textId="77777777" w:rsidR="003C7C8A" w:rsidRDefault="003C7C8A" w:rsidP="00280A35">
            <w:r>
              <w:rPr>
                <w:b/>
                <w:bCs/>
                <w:sz w:val="19"/>
                <w:szCs w:val="19"/>
              </w:rPr>
              <w:t xml:space="preserve">Nome e </w:t>
            </w:r>
            <w:proofErr w:type="spellStart"/>
            <w:r>
              <w:rPr>
                <w:b/>
                <w:bCs/>
                <w:sz w:val="19"/>
                <w:szCs w:val="19"/>
              </w:rPr>
              <w:t>Cognome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A05B" w14:textId="77777777" w:rsidR="003C7C8A" w:rsidRPr="0033289D" w:rsidRDefault="003C7C8A" w:rsidP="00280A35">
            <w:pPr>
              <w:rPr>
                <w:color w:val="auto"/>
              </w:rPr>
            </w:pPr>
            <w:r w:rsidRPr="0033289D">
              <w:rPr>
                <w:i/>
                <w:iCs/>
                <w:color w:val="auto"/>
                <w:sz w:val="19"/>
                <w:szCs w:val="19"/>
              </w:rPr>
              <w:t xml:space="preserve">Fabrizio </w:t>
            </w:r>
            <w:proofErr w:type="spellStart"/>
            <w:r w:rsidRPr="0033289D">
              <w:rPr>
                <w:i/>
                <w:iCs/>
                <w:color w:val="auto"/>
                <w:sz w:val="19"/>
                <w:szCs w:val="19"/>
              </w:rPr>
              <w:t>Fagetti</w:t>
            </w:r>
            <w:proofErr w:type="spellEnd"/>
          </w:p>
        </w:tc>
      </w:tr>
      <w:tr w:rsidR="003C7C8A" w14:paraId="44DD042A" w14:textId="77777777" w:rsidTr="003C7C8A">
        <w:trPr>
          <w:trHeight w:val="414"/>
        </w:trPr>
        <w:tc>
          <w:tcPr>
            <w:tcW w:w="2500" w:type="dxa"/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C47C" w14:textId="77777777" w:rsidR="003C7C8A" w:rsidRDefault="003C7C8A" w:rsidP="00280A35">
            <w:proofErr w:type="spellStart"/>
            <w:r>
              <w:rPr>
                <w:b/>
                <w:bCs/>
                <w:sz w:val="19"/>
                <w:szCs w:val="19"/>
              </w:rPr>
              <w:t>Ruolo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BC5C" w14:textId="77777777" w:rsidR="003C7C8A" w:rsidRPr="0033289D" w:rsidRDefault="003C7C8A" w:rsidP="00280A35">
            <w:pPr>
              <w:rPr>
                <w:color w:val="auto"/>
              </w:rPr>
            </w:pPr>
            <w:r w:rsidRPr="0033289D">
              <w:rPr>
                <w:i/>
                <w:iCs/>
                <w:color w:val="auto"/>
                <w:sz w:val="19"/>
                <w:szCs w:val="19"/>
              </w:rPr>
              <w:t>Data Analyst</w:t>
            </w:r>
          </w:p>
        </w:tc>
      </w:tr>
      <w:tr w:rsidR="003C7C8A" w14:paraId="165B7C6A" w14:textId="77777777" w:rsidTr="003C7C8A">
        <w:trPr>
          <w:trHeight w:val="18"/>
        </w:trPr>
        <w:tc>
          <w:tcPr>
            <w:tcW w:w="2500" w:type="dxa"/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AB14" w14:textId="77777777" w:rsidR="003C7C8A" w:rsidRDefault="003C7C8A" w:rsidP="00280A35">
            <w:r>
              <w:rPr>
                <w:b/>
                <w:bCs/>
                <w:sz w:val="19"/>
                <w:szCs w:val="19"/>
              </w:rPr>
              <w:t>Email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06B8" w14:textId="77777777" w:rsidR="003C7C8A" w:rsidRDefault="003C7C8A" w:rsidP="00280A35">
            <w:r>
              <w:t>fabriziofagetti@gmail.com</w:t>
            </w:r>
          </w:p>
        </w:tc>
      </w:tr>
      <w:tr w:rsidR="003C7C8A" w:rsidRPr="00FB162B" w14:paraId="549E6719" w14:textId="77777777" w:rsidTr="003C7C8A">
        <w:trPr>
          <w:trHeight w:val="423"/>
        </w:trPr>
        <w:tc>
          <w:tcPr>
            <w:tcW w:w="2500" w:type="dxa"/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B17E" w14:textId="77777777" w:rsidR="003C7C8A" w:rsidRDefault="003C7C8A" w:rsidP="00280A35">
            <w:r>
              <w:rPr>
                <w:b/>
                <w:bCs/>
                <w:sz w:val="19"/>
                <w:szCs w:val="19"/>
              </w:rPr>
              <w:t>LinkedIn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1773" w14:textId="77777777" w:rsidR="003C7C8A" w:rsidRPr="003C7C8A" w:rsidRDefault="003C7C8A" w:rsidP="00280A35">
            <w:pPr>
              <w:rPr>
                <w:i/>
                <w:iCs/>
                <w:color w:val="auto"/>
                <w:sz w:val="19"/>
                <w:szCs w:val="19"/>
                <w:lang w:val="it-IT"/>
              </w:rPr>
            </w:pPr>
            <w:r w:rsidRPr="003C7C8A">
              <w:rPr>
                <w:i/>
                <w:iCs/>
                <w:color w:val="auto"/>
                <w:sz w:val="19"/>
                <w:szCs w:val="19"/>
                <w:lang w:val="it-IT"/>
              </w:rPr>
              <w:t>linkedin.com/in/fabrizio-fagetti-7b5773154</w:t>
            </w:r>
          </w:p>
        </w:tc>
      </w:tr>
      <w:tr w:rsidR="003C7C8A" w:rsidRPr="00EC4CA5" w14:paraId="5C9F14EF" w14:textId="77777777" w:rsidTr="003C7C8A">
        <w:trPr>
          <w:trHeight w:val="423"/>
        </w:trPr>
        <w:tc>
          <w:tcPr>
            <w:tcW w:w="2500" w:type="dxa"/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1F7E" w14:textId="77777777" w:rsidR="003C7C8A" w:rsidRDefault="003C7C8A" w:rsidP="00280A35">
            <w:r>
              <w:rPr>
                <w:b/>
                <w:bCs/>
                <w:sz w:val="19"/>
                <w:szCs w:val="19"/>
              </w:rPr>
              <w:t>Repository GitHub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16D1" w14:textId="77777777" w:rsidR="003C7C8A" w:rsidRPr="0033289D" w:rsidRDefault="003C7C8A" w:rsidP="00280A35">
            <w:pPr>
              <w:rPr>
                <w:color w:val="auto"/>
              </w:rPr>
            </w:pPr>
            <w:r w:rsidRPr="0033289D">
              <w:rPr>
                <w:i/>
                <w:iCs/>
                <w:color w:val="auto"/>
                <w:sz w:val="19"/>
                <w:szCs w:val="19"/>
              </w:rPr>
              <w:t>github.com/</w:t>
            </w:r>
            <w:proofErr w:type="spellStart"/>
            <w:r w:rsidRPr="0033289D">
              <w:rPr>
                <w:i/>
                <w:iCs/>
                <w:color w:val="auto"/>
                <w:sz w:val="19"/>
                <w:szCs w:val="19"/>
              </w:rPr>
              <w:t>Fabriscious</w:t>
            </w:r>
            <w:proofErr w:type="spellEnd"/>
            <w:r w:rsidRPr="0033289D">
              <w:rPr>
                <w:i/>
                <w:iCs/>
                <w:color w:val="auto"/>
                <w:sz w:val="19"/>
                <w:szCs w:val="19"/>
              </w:rPr>
              <w:t>/energy-transition-</w:t>
            </w:r>
            <w:proofErr w:type="spellStart"/>
            <w:r w:rsidRPr="0033289D">
              <w:rPr>
                <w:i/>
                <w:iCs/>
                <w:color w:val="auto"/>
                <w:sz w:val="19"/>
                <w:szCs w:val="19"/>
              </w:rPr>
              <w:t>italy</w:t>
            </w:r>
            <w:proofErr w:type="spellEnd"/>
          </w:p>
        </w:tc>
      </w:tr>
      <w:tr w:rsidR="00FB162B" w:rsidRPr="00EC4CA5" w14:paraId="7B96C43B" w14:textId="77777777" w:rsidTr="003C7C8A">
        <w:trPr>
          <w:trHeight w:val="423"/>
        </w:trPr>
        <w:tc>
          <w:tcPr>
            <w:tcW w:w="2500" w:type="dxa"/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105D" w14:textId="0E271CE6" w:rsidR="00FB162B" w:rsidRDefault="00FB162B" w:rsidP="00280A35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Video </w:t>
            </w:r>
            <w:proofErr w:type="spellStart"/>
            <w:r>
              <w:rPr>
                <w:b/>
                <w:bCs/>
                <w:sz w:val="19"/>
                <w:szCs w:val="19"/>
              </w:rPr>
              <w:t>Introduttivo</w:t>
            </w:r>
            <w:proofErr w:type="spellEnd"/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8519" w14:textId="64851E18" w:rsidR="00FB162B" w:rsidRPr="00FB162B" w:rsidRDefault="00FB162B" w:rsidP="00280A35">
            <w:pPr>
              <w:rPr>
                <w:i/>
                <w:iCs/>
                <w:color w:val="auto"/>
                <w:sz w:val="19"/>
                <w:szCs w:val="19"/>
                <w:lang w:val="it-IT"/>
              </w:rPr>
            </w:pPr>
            <w:r w:rsidRPr="00FB162B">
              <w:rPr>
                <w:i/>
                <w:iCs/>
                <w:color w:val="auto"/>
                <w:sz w:val="19"/>
                <w:szCs w:val="19"/>
                <w:lang w:val="it-IT"/>
              </w:rPr>
              <w:t>youtu.be/TkfvKTz7-CI</w:t>
            </w:r>
          </w:p>
        </w:tc>
      </w:tr>
    </w:tbl>
    <w:p w14:paraId="6A5021DA" w14:textId="0A997076" w:rsidR="00917121" w:rsidRPr="003C7C8A" w:rsidRDefault="00917121"/>
    <w:p w14:paraId="145EAA8E" w14:textId="77777777" w:rsidR="003C7C8A" w:rsidRPr="00FB162B" w:rsidRDefault="003C7C8A">
      <w:pPr>
        <w:jc w:val="center"/>
        <w:rPr>
          <w:i/>
          <w:color w:val="66737F"/>
        </w:rPr>
      </w:pPr>
    </w:p>
    <w:p w14:paraId="1F2FA66C" w14:textId="21996259" w:rsidR="00917121" w:rsidRPr="00E1661C" w:rsidRDefault="00000000">
      <w:pPr>
        <w:jc w:val="center"/>
        <w:rPr>
          <w:lang w:val="it-IT"/>
        </w:rPr>
      </w:pPr>
      <w:r w:rsidRPr="00E1661C">
        <w:rPr>
          <w:i/>
          <w:color w:val="66737F"/>
          <w:lang w:val="it-IT"/>
        </w:rPr>
        <w:t>Dataset sintetico • 3 anni • Regione Lazio • Power BI</w:t>
      </w:r>
    </w:p>
    <w:p w14:paraId="02105222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br w:type="page"/>
      </w:r>
    </w:p>
    <w:p w14:paraId="472B8E1C" w14:textId="77777777" w:rsidR="00917121" w:rsidRPr="00E1661C" w:rsidRDefault="00000000">
      <w:pPr>
        <w:pStyle w:val="Titolo1"/>
        <w:rPr>
          <w:lang w:val="it-IT"/>
        </w:rPr>
      </w:pPr>
      <w:r w:rsidRPr="00E1661C">
        <w:rPr>
          <w:lang w:val="it-IT"/>
        </w:rPr>
        <w:lastRenderedPageBreak/>
        <w:t>Executive Summary</w:t>
      </w:r>
    </w:p>
    <w:p w14:paraId="6CF7A502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Il presente documento interpreta il report Power BI sviluppato per una piattaforma simulata di servizi medici operante nella Regione Lazio. Il progetto è stato costruito come esercitazione di Data Analysis end-to-end: generazione sintetica dei dati, modellazione relazionale, caricamento in MySQL, analisi SQL e costruzione di dashboard interattive in Power BI.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7121" w14:paraId="2E7DE6EB" w14:textId="77777777">
        <w:trPr>
          <w:jc w:val="center"/>
        </w:trPr>
        <w:tc>
          <w:tcPr>
            <w:tcW w:w="3408" w:type="dxa"/>
            <w:shd w:val="clear" w:color="auto" w:fill="17324D"/>
            <w:vAlign w:val="center"/>
          </w:tcPr>
          <w:p w14:paraId="73823097" w14:textId="77777777" w:rsidR="00917121" w:rsidRDefault="00000000">
            <w:r>
              <w:rPr>
                <w:b/>
                <w:color w:val="FFFFFF"/>
                <w:sz w:val="18"/>
              </w:rPr>
              <w:t>Indicatore</w:t>
            </w:r>
          </w:p>
        </w:tc>
        <w:tc>
          <w:tcPr>
            <w:tcW w:w="3408" w:type="dxa"/>
            <w:shd w:val="clear" w:color="auto" w:fill="17324D"/>
            <w:vAlign w:val="center"/>
          </w:tcPr>
          <w:p w14:paraId="648EFC3A" w14:textId="77777777" w:rsidR="00917121" w:rsidRDefault="00000000">
            <w:r>
              <w:rPr>
                <w:b/>
                <w:color w:val="FFFFFF"/>
                <w:sz w:val="18"/>
              </w:rPr>
              <w:t>Valore</w:t>
            </w:r>
          </w:p>
        </w:tc>
        <w:tc>
          <w:tcPr>
            <w:tcW w:w="3408" w:type="dxa"/>
            <w:shd w:val="clear" w:color="auto" w:fill="17324D"/>
            <w:vAlign w:val="center"/>
          </w:tcPr>
          <w:p w14:paraId="5C6F2226" w14:textId="77777777" w:rsidR="00917121" w:rsidRDefault="00000000">
            <w:r>
              <w:rPr>
                <w:b/>
                <w:color w:val="FFFFFF"/>
                <w:sz w:val="18"/>
              </w:rPr>
              <w:t>Lettura manageriale</w:t>
            </w:r>
          </w:p>
        </w:tc>
      </w:tr>
      <w:tr w:rsidR="00917121" w14:paraId="2C507AAE" w14:textId="77777777">
        <w:trPr>
          <w:jc w:val="center"/>
        </w:trPr>
        <w:tc>
          <w:tcPr>
            <w:tcW w:w="3408" w:type="dxa"/>
            <w:shd w:val="clear" w:color="auto" w:fill="F4F7F9"/>
            <w:vAlign w:val="center"/>
          </w:tcPr>
          <w:p w14:paraId="2F109A6B" w14:textId="77777777" w:rsidR="00917121" w:rsidRDefault="00000000">
            <w:r>
              <w:rPr>
                <w:sz w:val="18"/>
              </w:rPr>
              <w:t>Pazienti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2B00B491" w14:textId="77777777" w:rsidR="00917121" w:rsidRDefault="00000000">
            <w:r>
              <w:rPr>
                <w:sz w:val="18"/>
              </w:rPr>
              <w:t>50.000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551BF345" w14:textId="77777777" w:rsidR="00917121" w:rsidRDefault="00000000">
            <w:r>
              <w:rPr>
                <w:sz w:val="18"/>
              </w:rPr>
              <w:t>Ampia base utenti simulata</w:t>
            </w:r>
          </w:p>
        </w:tc>
      </w:tr>
      <w:tr w:rsidR="00917121" w:rsidRPr="00FB162B" w14:paraId="5483ABD5" w14:textId="77777777">
        <w:trPr>
          <w:jc w:val="center"/>
        </w:trPr>
        <w:tc>
          <w:tcPr>
            <w:tcW w:w="3408" w:type="dxa"/>
            <w:vAlign w:val="center"/>
          </w:tcPr>
          <w:p w14:paraId="267F2C2B" w14:textId="77777777" w:rsidR="00917121" w:rsidRDefault="00000000">
            <w:r>
              <w:rPr>
                <w:sz w:val="18"/>
              </w:rPr>
              <w:t>Appuntamenti</w:t>
            </w:r>
          </w:p>
        </w:tc>
        <w:tc>
          <w:tcPr>
            <w:tcW w:w="3408" w:type="dxa"/>
            <w:vAlign w:val="center"/>
          </w:tcPr>
          <w:p w14:paraId="77CE47FB" w14:textId="77777777" w:rsidR="00917121" w:rsidRDefault="00000000">
            <w:r>
              <w:rPr>
                <w:sz w:val="18"/>
              </w:rPr>
              <w:t>300.000</w:t>
            </w:r>
          </w:p>
        </w:tc>
        <w:tc>
          <w:tcPr>
            <w:tcW w:w="3408" w:type="dxa"/>
            <w:vAlign w:val="center"/>
          </w:tcPr>
          <w:p w14:paraId="3FAC6AA2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>Volume complessivo su tre anni</w:t>
            </w:r>
          </w:p>
        </w:tc>
      </w:tr>
      <w:tr w:rsidR="00917121" w:rsidRPr="00FB162B" w14:paraId="0587FB39" w14:textId="77777777">
        <w:trPr>
          <w:jc w:val="center"/>
        </w:trPr>
        <w:tc>
          <w:tcPr>
            <w:tcW w:w="3408" w:type="dxa"/>
            <w:shd w:val="clear" w:color="auto" w:fill="F4F7F9"/>
            <w:vAlign w:val="center"/>
          </w:tcPr>
          <w:p w14:paraId="5A63E232" w14:textId="77777777" w:rsidR="00917121" w:rsidRDefault="00000000">
            <w:proofErr w:type="spellStart"/>
            <w:r>
              <w:rPr>
                <w:sz w:val="18"/>
              </w:rPr>
              <w:t>Visite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completate</w:t>
            </w:r>
            <w:proofErr w:type="spellEnd"/>
          </w:p>
        </w:tc>
        <w:tc>
          <w:tcPr>
            <w:tcW w:w="3408" w:type="dxa"/>
            <w:shd w:val="clear" w:color="auto" w:fill="F4F7F9"/>
            <w:vAlign w:val="center"/>
          </w:tcPr>
          <w:p w14:paraId="44E96D82" w14:textId="77777777" w:rsidR="00917121" w:rsidRDefault="00000000">
            <w:r>
              <w:rPr>
                <w:sz w:val="18"/>
              </w:rPr>
              <w:t>259.368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4A1AE9CB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>Prestazioni effettivamente completate, da SQL</w:t>
            </w:r>
          </w:p>
        </w:tc>
      </w:tr>
      <w:tr w:rsidR="00917121" w14:paraId="40E7F113" w14:textId="77777777">
        <w:trPr>
          <w:jc w:val="center"/>
        </w:trPr>
        <w:tc>
          <w:tcPr>
            <w:tcW w:w="3408" w:type="dxa"/>
            <w:vAlign w:val="center"/>
          </w:tcPr>
          <w:p w14:paraId="4CBD7174" w14:textId="77777777" w:rsidR="00917121" w:rsidRDefault="00000000">
            <w:proofErr w:type="spellStart"/>
            <w:r>
              <w:rPr>
                <w:sz w:val="18"/>
              </w:rPr>
              <w:t>Fatturato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incassato</w:t>
            </w:r>
            <w:proofErr w:type="spellEnd"/>
          </w:p>
        </w:tc>
        <w:tc>
          <w:tcPr>
            <w:tcW w:w="3408" w:type="dxa"/>
            <w:vAlign w:val="center"/>
          </w:tcPr>
          <w:p w14:paraId="1AB64E61" w14:textId="77777777" w:rsidR="00917121" w:rsidRDefault="00000000">
            <w:r>
              <w:rPr>
                <w:sz w:val="18"/>
              </w:rPr>
              <w:t>€25,41 M</w:t>
            </w:r>
          </w:p>
        </w:tc>
        <w:tc>
          <w:tcPr>
            <w:tcW w:w="3408" w:type="dxa"/>
            <w:vAlign w:val="center"/>
          </w:tcPr>
          <w:p w14:paraId="5EE98D8B" w14:textId="77777777" w:rsidR="00917121" w:rsidRDefault="00000000">
            <w:r>
              <w:rPr>
                <w:sz w:val="18"/>
              </w:rPr>
              <w:t>Ricavi effettivamente pagati</w:t>
            </w:r>
          </w:p>
        </w:tc>
      </w:tr>
      <w:tr w:rsidR="00917121" w:rsidRPr="00FB162B" w14:paraId="6F2923E0" w14:textId="77777777">
        <w:trPr>
          <w:jc w:val="center"/>
        </w:trPr>
        <w:tc>
          <w:tcPr>
            <w:tcW w:w="3408" w:type="dxa"/>
            <w:shd w:val="clear" w:color="auto" w:fill="F4F7F9"/>
            <w:vAlign w:val="center"/>
          </w:tcPr>
          <w:p w14:paraId="1D184F1B" w14:textId="77777777" w:rsidR="00917121" w:rsidRDefault="00000000">
            <w:r>
              <w:rPr>
                <w:sz w:val="18"/>
              </w:rPr>
              <w:t>Revenue media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489F732F" w14:textId="77777777" w:rsidR="00917121" w:rsidRDefault="00000000">
            <w:r>
              <w:rPr>
                <w:sz w:val="18"/>
              </w:rPr>
              <w:t>€97,98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2812AAA4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>Media riferita alle visite effettivamente pagate</w:t>
            </w:r>
          </w:p>
        </w:tc>
      </w:tr>
      <w:tr w:rsidR="00917121" w14:paraId="2126833B" w14:textId="77777777">
        <w:trPr>
          <w:jc w:val="center"/>
        </w:trPr>
        <w:tc>
          <w:tcPr>
            <w:tcW w:w="3408" w:type="dxa"/>
            <w:vAlign w:val="center"/>
          </w:tcPr>
          <w:p w14:paraId="18524176" w14:textId="77777777" w:rsidR="00917121" w:rsidRDefault="00000000">
            <w:r>
              <w:rPr>
                <w:sz w:val="18"/>
              </w:rPr>
              <w:t>No-show rate</w:t>
            </w:r>
          </w:p>
        </w:tc>
        <w:tc>
          <w:tcPr>
            <w:tcW w:w="3408" w:type="dxa"/>
            <w:vAlign w:val="center"/>
          </w:tcPr>
          <w:p w14:paraId="26A613BA" w14:textId="77777777" w:rsidR="00917121" w:rsidRDefault="00000000">
            <w:r>
              <w:rPr>
                <w:sz w:val="18"/>
              </w:rPr>
              <w:t>7%</w:t>
            </w:r>
          </w:p>
        </w:tc>
        <w:tc>
          <w:tcPr>
            <w:tcW w:w="3408" w:type="dxa"/>
            <w:vAlign w:val="center"/>
          </w:tcPr>
          <w:p w14:paraId="4C4F8177" w14:textId="77777777" w:rsidR="00917121" w:rsidRDefault="00000000">
            <w:r>
              <w:rPr>
                <w:sz w:val="18"/>
              </w:rPr>
              <w:t>Principale area di inefficienza</w:t>
            </w:r>
          </w:p>
        </w:tc>
      </w:tr>
      <w:tr w:rsidR="00917121" w14:paraId="6044A1DA" w14:textId="77777777">
        <w:trPr>
          <w:jc w:val="center"/>
        </w:trPr>
        <w:tc>
          <w:tcPr>
            <w:tcW w:w="3408" w:type="dxa"/>
            <w:shd w:val="clear" w:color="auto" w:fill="F4F7F9"/>
            <w:vAlign w:val="center"/>
          </w:tcPr>
          <w:p w14:paraId="5D852F78" w14:textId="77777777" w:rsidR="00917121" w:rsidRDefault="00000000">
            <w:r>
              <w:rPr>
                <w:sz w:val="18"/>
              </w:rPr>
              <w:t>Reminder rate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597B01E8" w14:textId="77777777" w:rsidR="00917121" w:rsidRDefault="00000000">
            <w:r>
              <w:rPr>
                <w:sz w:val="18"/>
              </w:rPr>
              <w:t>75%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5F051006" w14:textId="77777777" w:rsidR="00917121" w:rsidRDefault="00000000">
            <w:r>
              <w:rPr>
                <w:sz w:val="18"/>
              </w:rPr>
              <w:t>Leva già ampiamente utilizzata</w:t>
            </w:r>
          </w:p>
        </w:tc>
      </w:tr>
      <w:tr w:rsidR="00917121" w14:paraId="72E81F99" w14:textId="77777777">
        <w:trPr>
          <w:jc w:val="center"/>
        </w:trPr>
        <w:tc>
          <w:tcPr>
            <w:tcW w:w="3408" w:type="dxa"/>
            <w:vAlign w:val="center"/>
          </w:tcPr>
          <w:p w14:paraId="440202B5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>Fatturato perso da no-show</w:t>
            </w:r>
          </w:p>
        </w:tc>
        <w:tc>
          <w:tcPr>
            <w:tcW w:w="3408" w:type="dxa"/>
            <w:vAlign w:val="center"/>
          </w:tcPr>
          <w:p w14:paraId="1C2EC3C8" w14:textId="77777777" w:rsidR="00917121" w:rsidRDefault="00000000">
            <w:r>
              <w:rPr>
                <w:sz w:val="18"/>
              </w:rPr>
              <w:t>€2,32 M</w:t>
            </w:r>
          </w:p>
        </w:tc>
        <w:tc>
          <w:tcPr>
            <w:tcW w:w="3408" w:type="dxa"/>
            <w:vAlign w:val="center"/>
          </w:tcPr>
          <w:p w14:paraId="491983F5" w14:textId="77777777" w:rsidR="00917121" w:rsidRDefault="00000000">
            <w:r>
              <w:rPr>
                <w:sz w:val="18"/>
              </w:rPr>
              <w:t>Potenziale valore da mitigare</w:t>
            </w:r>
          </w:p>
        </w:tc>
      </w:tr>
    </w:tbl>
    <w:p w14:paraId="4E11295E" w14:textId="77777777" w:rsidR="00917121" w:rsidRDefault="00917121"/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7121" w14:paraId="00144C85" w14:textId="77777777">
        <w:tc>
          <w:tcPr>
            <w:tcW w:w="10224" w:type="dxa"/>
            <w:shd w:val="clear" w:color="auto" w:fill="EAF1F5"/>
          </w:tcPr>
          <w:p w14:paraId="036CCD80" w14:textId="77777777" w:rsidR="00917121" w:rsidRDefault="00000000">
            <w:r w:rsidRPr="00E1661C">
              <w:rPr>
                <w:b/>
                <w:color w:val="17324D"/>
                <w:sz w:val="22"/>
                <w:lang w:val="it-IT"/>
              </w:rPr>
              <w:t>Nota metodologica sul prezzo medio</w:t>
            </w:r>
            <w:r w:rsidRPr="00E1661C">
              <w:rPr>
                <w:sz w:val="19"/>
                <w:lang w:val="it-IT"/>
              </w:rPr>
              <w:br/>
              <w:t xml:space="preserve">Nel materiale Power BI compare anche €109,09 come prezzo medio visita. Questo valore rappresenta il valore medio della prestazione e non va confuso con €97,98, riferito alle visite effettivamente pagate. </w:t>
            </w:r>
            <w:r>
              <w:rPr>
                <w:sz w:val="19"/>
              </w:rPr>
              <w:t>Nel documento i due KPI vengono quindi trattati separatamente.</w:t>
            </w:r>
          </w:p>
        </w:tc>
      </w:tr>
    </w:tbl>
    <w:p w14:paraId="25C83374" w14:textId="77777777" w:rsidR="00917121" w:rsidRDefault="00917121"/>
    <w:p w14:paraId="0C6AB845" w14:textId="77777777" w:rsidR="00917121" w:rsidRDefault="00000000">
      <w:pPr>
        <w:pStyle w:val="Titolo1"/>
      </w:pPr>
      <w:r>
        <w:t>1. Obiettivo e metodologia</w:t>
      </w:r>
    </w:p>
    <w:p w14:paraId="752BE8FC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Il report non descrive una società reale: i dati sono artificiali, ma progettati per mantenere coerenza interna tra pazienti, provider, strutture, appuntamenti, diagnosi, farmaci, fatturazione, laboratori e feedback. Il perimetro comprende 50.000 pazienti, 400 provider, 50 strutture e 300.000 appuntamenti, con codici ICD-10 e ATC.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7121" w14:paraId="413931C1" w14:textId="77777777">
        <w:trPr>
          <w:jc w:val="center"/>
        </w:trPr>
        <w:tc>
          <w:tcPr>
            <w:tcW w:w="5112" w:type="dxa"/>
            <w:shd w:val="clear" w:color="auto" w:fill="17324D"/>
            <w:vAlign w:val="center"/>
          </w:tcPr>
          <w:p w14:paraId="3095F50C" w14:textId="77777777" w:rsidR="00917121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7324D"/>
            <w:vAlign w:val="center"/>
          </w:tcPr>
          <w:p w14:paraId="03E69D9D" w14:textId="77777777" w:rsidR="00917121" w:rsidRDefault="00000000">
            <w:r>
              <w:rPr>
                <w:b/>
                <w:color w:val="FFFFFF"/>
                <w:sz w:val="18"/>
              </w:rPr>
              <w:t>Domanda analitica</w:t>
            </w:r>
          </w:p>
        </w:tc>
      </w:tr>
      <w:tr w:rsidR="00917121" w:rsidRPr="00FB162B" w14:paraId="145CA51B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4A3688E9" w14:textId="77777777" w:rsidR="00917121" w:rsidRDefault="00000000">
            <w:r>
              <w:rPr>
                <w:sz w:val="18"/>
              </w:rPr>
              <w:t>Executive Overview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292F3DA5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>Qual è lo stato complessivo del business?</w:t>
            </w:r>
          </w:p>
        </w:tc>
      </w:tr>
      <w:tr w:rsidR="00917121" w:rsidRPr="00FB162B" w14:paraId="161E2B6F" w14:textId="77777777">
        <w:trPr>
          <w:jc w:val="center"/>
        </w:trPr>
        <w:tc>
          <w:tcPr>
            <w:tcW w:w="5112" w:type="dxa"/>
            <w:vAlign w:val="center"/>
          </w:tcPr>
          <w:p w14:paraId="4136BF32" w14:textId="77777777" w:rsidR="00917121" w:rsidRDefault="00000000">
            <w:r>
              <w:rPr>
                <w:sz w:val="18"/>
              </w:rPr>
              <w:t>No-Show Analysis</w:t>
            </w:r>
          </w:p>
        </w:tc>
        <w:tc>
          <w:tcPr>
            <w:tcW w:w="5112" w:type="dxa"/>
            <w:vAlign w:val="center"/>
          </w:tcPr>
          <w:p w14:paraId="6C51B874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>Dove e come si concentrano le mancate presentazioni?</w:t>
            </w:r>
          </w:p>
        </w:tc>
      </w:tr>
      <w:tr w:rsidR="00917121" w:rsidRPr="00FB162B" w14:paraId="088EC6F9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1E750D61" w14:textId="77777777" w:rsidR="00917121" w:rsidRDefault="00000000">
            <w:r>
              <w:rPr>
                <w:sz w:val="18"/>
              </w:rPr>
              <w:t>Business &amp; Revenue Insights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0B8F03BB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>Quali specialità e territori generano più valore?</w:t>
            </w:r>
          </w:p>
        </w:tc>
      </w:tr>
      <w:tr w:rsidR="00917121" w:rsidRPr="00FB162B" w14:paraId="26C4DC1B" w14:textId="77777777">
        <w:trPr>
          <w:jc w:val="center"/>
        </w:trPr>
        <w:tc>
          <w:tcPr>
            <w:tcW w:w="5112" w:type="dxa"/>
            <w:vAlign w:val="center"/>
          </w:tcPr>
          <w:p w14:paraId="6873EE1C" w14:textId="77777777" w:rsidR="00917121" w:rsidRDefault="00000000">
            <w:r>
              <w:rPr>
                <w:sz w:val="18"/>
              </w:rPr>
              <w:t>Patient Analysis</w:t>
            </w:r>
          </w:p>
        </w:tc>
        <w:tc>
          <w:tcPr>
            <w:tcW w:w="5112" w:type="dxa"/>
            <w:vAlign w:val="center"/>
          </w:tcPr>
          <w:p w14:paraId="42829618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>Quali segmenti hanno maggiore valore e rischio?</w:t>
            </w:r>
          </w:p>
        </w:tc>
      </w:tr>
    </w:tbl>
    <w:p w14:paraId="693CB2ED" w14:textId="77777777" w:rsidR="00917121" w:rsidRPr="00E1661C" w:rsidRDefault="00917121">
      <w:pPr>
        <w:rPr>
          <w:lang w:val="it-IT"/>
        </w:rPr>
      </w:pPr>
    </w:p>
    <w:p w14:paraId="58A91400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La logica segue un percorso progressivo: descrizione, segmentazione, individuazione dei driver e lettura strategica. In questo modo Power BI non è solo uno strumento di visualizzazione, ma diventa il livello di comunicazione decisionale dell'analisi.</w:t>
      </w:r>
    </w:p>
    <w:p w14:paraId="69711F09" w14:textId="77777777" w:rsidR="00917121" w:rsidRPr="00E1661C" w:rsidRDefault="00000000">
      <w:pPr>
        <w:pStyle w:val="Titolo1"/>
        <w:rPr>
          <w:lang w:val="it-IT"/>
        </w:rPr>
      </w:pPr>
      <w:r w:rsidRPr="00E1661C">
        <w:rPr>
          <w:lang w:val="it-IT"/>
        </w:rPr>
        <w:t>2. Dashboard — Executive Overview</w:t>
      </w:r>
    </w:p>
    <w:p w14:paraId="33C090B6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La Executive Overview sintetizza dimensione economica e operativa. Il fatturato incassato è €25,41 milioni, a fronte di 300.000 appuntamenti complessivi e un no-show rate del 7%. Il reminder coverage raggiunge il 75%, mostrando che la piattaforma dispone già di un meccanismo di prevenzione delle assenze su una quota ampia degli appuntamenti.</w:t>
      </w:r>
    </w:p>
    <w:p w14:paraId="7D7C53EE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lastRenderedPageBreak/>
        <w:t>Andamento temporale</w:t>
      </w:r>
    </w:p>
    <w:p w14:paraId="25ACCC0C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I dati SQL sulle visite completate mostrano 86.312 visite nel 2023, 86.193 nel 2024 e 86.863 nel 2025, con fatturato rispettivamente di €9,43 M, €9,39 M e €9,45 M. Il business appare stabile nel triennio, senza una crescita esplosiva ma anche senza una contrazione strutturale.</w:t>
      </w:r>
    </w:p>
    <w:p w14:paraId="711CA220" w14:textId="77777777" w:rsidR="00917121" w:rsidRPr="00E1661C" w:rsidRDefault="00000000">
      <w:pPr>
        <w:pStyle w:val="Puntoelenco"/>
        <w:rPr>
          <w:lang w:val="it-IT"/>
        </w:rPr>
      </w:pPr>
      <w:r w:rsidRPr="00E1661C">
        <w:rPr>
          <w:lang w:val="it-IT"/>
        </w:rPr>
        <w:t>Il problema principale non è la scala, ma l'ottimizzazione del volume già presente.</w:t>
      </w:r>
    </w:p>
    <w:p w14:paraId="7284A78C" w14:textId="77777777" w:rsidR="00917121" w:rsidRPr="00E1661C" w:rsidRDefault="00000000">
      <w:pPr>
        <w:pStyle w:val="Puntoelenco"/>
        <w:rPr>
          <w:lang w:val="it-IT"/>
        </w:rPr>
      </w:pPr>
      <w:r w:rsidRPr="00E1661C">
        <w:rPr>
          <w:lang w:val="it-IT"/>
        </w:rPr>
        <w:t>Il 7% di no-show costituisce una quota abbastanza rilevante da giustificare interventi dedicati.</w:t>
      </w:r>
    </w:p>
    <w:p w14:paraId="661CA4DC" w14:textId="77777777" w:rsidR="00917121" w:rsidRPr="00E1661C" w:rsidRDefault="00000000">
      <w:pPr>
        <w:pStyle w:val="Puntoelenco"/>
        <w:rPr>
          <w:lang w:val="it-IT"/>
        </w:rPr>
      </w:pPr>
      <w:r w:rsidRPr="00E1661C">
        <w:rPr>
          <w:lang w:val="it-IT"/>
        </w:rPr>
        <w:t>Il 75% di reminder coverage offre una base concreta per sperimentare un targeting più efficace.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7121" w:rsidRPr="00FB162B" w14:paraId="7A79010E" w14:textId="77777777">
        <w:tc>
          <w:tcPr>
            <w:tcW w:w="10224" w:type="dxa"/>
            <w:shd w:val="clear" w:color="auto" w:fill="EAF1F5"/>
          </w:tcPr>
          <w:p w14:paraId="73ED87A0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b/>
                <w:color w:val="17324D"/>
                <w:sz w:val="22"/>
                <w:lang w:val="it-IT"/>
              </w:rPr>
              <w:t>Implicazione manageriale</w:t>
            </w:r>
            <w:r w:rsidRPr="00E1661C">
              <w:rPr>
                <w:sz w:val="19"/>
                <w:lang w:val="it-IT"/>
              </w:rPr>
              <w:br/>
              <w:t>La priorità è aumentare l'efficienza del volume esistente: ridurre appuntamenti persi e migliorare il valore generato per utente.</w:t>
            </w:r>
          </w:p>
        </w:tc>
      </w:tr>
    </w:tbl>
    <w:p w14:paraId="0F2A60B6" w14:textId="77777777" w:rsidR="00917121" w:rsidRPr="00E1661C" w:rsidRDefault="00917121">
      <w:pPr>
        <w:rPr>
          <w:lang w:val="it-IT"/>
        </w:rPr>
      </w:pPr>
    </w:p>
    <w:p w14:paraId="67CCEBE0" w14:textId="77777777" w:rsidR="00917121" w:rsidRPr="00E1661C" w:rsidRDefault="00000000">
      <w:pPr>
        <w:pStyle w:val="Titolo1"/>
        <w:rPr>
          <w:lang w:val="it-IT"/>
        </w:rPr>
      </w:pPr>
      <w:r w:rsidRPr="00E1661C">
        <w:rPr>
          <w:lang w:val="it-IT"/>
        </w:rPr>
        <w:t>3. Dashboard — No-Show Analysis</w:t>
      </w:r>
    </w:p>
    <w:p w14:paraId="3B81CE56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Questa dashboard individua il principale driver operativo. Il no-show complessivo è 7%, ma la distribuzione varia per età e reminder.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7121" w14:paraId="5A6B61D3" w14:textId="77777777">
        <w:trPr>
          <w:jc w:val="center"/>
        </w:trPr>
        <w:tc>
          <w:tcPr>
            <w:tcW w:w="5112" w:type="dxa"/>
            <w:shd w:val="clear" w:color="auto" w:fill="17324D"/>
            <w:vAlign w:val="center"/>
          </w:tcPr>
          <w:p w14:paraId="7DD58A89" w14:textId="77777777" w:rsidR="00917121" w:rsidRDefault="00000000"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w="5112" w:type="dxa"/>
            <w:shd w:val="clear" w:color="auto" w:fill="17324D"/>
            <w:vAlign w:val="center"/>
          </w:tcPr>
          <w:p w14:paraId="0430AD0C" w14:textId="77777777" w:rsidR="00917121" w:rsidRDefault="00000000">
            <w:r>
              <w:rPr>
                <w:b/>
                <w:color w:val="FFFFFF"/>
                <w:sz w:val="18"/>
              </w:rPr>
              <w:t>No-show rate</w:t>
            </w:r>
          </w:p>
        </w:tc>
      </w:tr>
      <w:tr w:rsidR="00917121" w14:paraId="43D4C01D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6494CBE5" w14:textId="77777777" w:rsidR="00917121" w:rsidRDefault="00000000">
            <w:r>
              <w:rPr>
                <w:sz w:val="18"/>
              </w:rPr>
              <w:t>Under 30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3B5EEDC7" w14:textId="77777777" w:rsidR="00917121" w:rsidRDefault="00000000">
            <w:r>
              <w:rPr>
                <w:sz w:val="18"/>
              </w:rPr>
              <w:t>7,86%</w:t>
            </w:r>
          </w:p>
        </w:tc>
      </w:tr>
      <w:tr w:rsidR="00917121" w14:paraId="1964A7AE" w14:textId="77777777">
        <w:trPr>
          <w:jc w:val="center"/>
        </w:trPr>
        <w:tc>
          <w:tcPr>
            <w:tcW w:w="5112" w:type="dxa"/>
            <w:vAlign w:val="center"/>
          </w:tcPr>
          <w:p w14:paraId="53DAE3B0" w14:textId="77777777" w:rsidR="00917121" w:rsidRDefault="00000000">
            <w:r>
              <w:rPr>
                <w:sz w:val="18"/>
              </w:rPr>
              <w:t>30–44</w:t>
            </w:r>
          </w:p>
        </w:tc>
        <w:tc>
          <w:tcPr>
            <w:tcW w:w="5112" w:type="dxa"/>
            <w:vAlign w:val="center"/>
          </w:tcPr>
          <w:p w14:paraId="0F5DB7E6" w14:textId="77777777" w:rsidR="00917121" w:rsidRDefault="00000000">
            <w:r>
              <w:rPr>
                <w:sz w:val="18"/>
              </w:rPr>
              <w:t>6,93%</w:t>
            </w:r>
          </w:p>
        </w:tc>
      </w:tr>
      <w:tr w:rsidR="00917121" w14:paraId="78019E37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45818FBC" w14:textId="77777777" w:rsidR="00917121" w:rsidRDefault="00000000">
            <w:r>
              <w:rPr>
                <w:sz w:val="18"/>
              </w:rPr>
              <w:t>45–59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1673EAC1" w14:textId="77777777" w:rsidR="00917121" w:rsidRDefault="00000000">
            <w:r>
              <w:rPr>
                <w:sz w:val="18"/>
              </w:rPr>
              <w:t>6,63%</w:t>
            </w:r>
          </w:p>
        </w:tc>
      </w:tr>
      <w:tr w:rsidR="00917121" w14:paraId="2381225F" w14:textId="77777777">
        <w:trPr>
          <w:jc w:val="center"/>
        </w:trPr>
        <w:tc>
          <w:tcPr>
            <w:tcW w:w="5112" w:type="dxa"/>
            <w:vAlign w:val="center"/>
          </w:tcPr>
          <w:p w14:paraId="711F9558" w14:textId="77777777" w:rsidR="00917121" w:rsidRDefault="00000000">
            <w:r>
              <w:rPr>
                <w:sz w:val="18"/>
              </w:rPr>
              <w:t>60+</w:t>
            </w:r>
          </w:p>
        </w:tc>
        <w:tc>
          <w:tcPr>
            <w:tcW w:w="5112" w:type="dxa"/>
            <w:vAlign w:val="center"/>
          </w:tcPr>
          <w:p w14:paraId="63B14A6D" w14:textId="77777777" w:rsidR="00917121" w:rsidRDefault="00000000">
            <w:r>
              <w:rPr>
                <w:sz w:val="18"/>
              </w:rPr>
              <w:t>6,49%</w:t>
            </w:r>
          </w:p>
        </w:tc>
      </w:tr>
      <w:tr w:rsidR="00917121" w14:paraId="6600E09C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2C106A22" w14:textId="77777777" w:rsidR="00917121" w:rsidRDefault="00000000">
            <w:r>
              <w:rPr>
                <w:sz w:val="18"/>
              </w:rPr>
              <w:t>Senza reminder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0CC4691B" w14:textId="77777777" w:rsidR="00917121" w:rsidRDefault="00000000">
            <w:r>
              <w:rPr>
                <w:sz w:val="18"/>
              </w:rPr>
              <w:t>10,12%</w:t>
            </w:r>
          </w:p>
        </w:tc>
      </w:tr>
      <w:tr w:rsidR="00917121" w14:paraId="791A5F16" w14:textId="77777777">
        <w:trPr>
          <w:jc w:val="center"/>
        </w:trPr>
        <w:tc>
          <w:tcPr>
            <w:tcW w:w="5112" w:type="dxa"/>
            <w:vAlign w:val="center"/>
          </w:tcPr>
          <w:p w14:paraId="4AB5BC87" w14:textId="77777777" w:rsidR="00917121" w:rsidRDefault="00000000">
            <w:r>
              <w:rPr>
                <w:sz w:val="18"/>
              </w:rPr>
              <w:t>Con reminder</w:t>
            </w:r>
          </w:p>
        </w:tc>
        <w:tc>
          <w:tcPr>
            <w:tcW w:w="5112" w:type="dxa"/>
            <w:vAlign w:val="center"/>
          </w:tcPr>
          <w:p w14:paraId="390E6A8C" w14:textId="77777777" w:rsidR="00917121" w:rsidRDefault="00000000">
            <w:r>
              <w:rPr>
                <w:sz w:val="18"/>
              </w:rPr>
              <w:t>5,96%</w:t>
            </w:r>
          </w:p>
        </w:tc>
      </w:tr>
    </w:tbl>
    <w:p w14:paraId="03BED438" w14:textId="77777777" w:rsidR="00917121" w:rsidRDefault="00917121"/>
    <w:p w14:paraId="4AE01A52" w14:textId="77777777" w:rsidR="00917121" w:rsidRDefault="00000000">
      <w:pPr>
        <w:pStyle w:val="Titolo2"/>
      </w:pPr>
      <w:r>
        <w:t>Il ruolo dei reminder</w:t>
      </w:r>
    </w:p>
    <w:p w14:paraId="125E9B8D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Il confronto 10,12% contro 5,96% mostra una differenza di circa 4,2 punti percentuali e una riduzione relativa del no-show di circa il 41% tra gli appuntamenti con reminder e quelli senza. Poiché il dataset è simulato e il confronto è osservazionale, il risultato va interpretato come evidenza associativa e non come prova causale definitiva.</w:t>
      </w:r>
    </w:p>
    <w:p w14:paraId="528228F1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Gli under 30 sono il segmento più esposto (7,86%), mentre gli over 60 sono al 6,49%. Per specialità, i valori più elevati sono Ginecologia (7,21%), Endocrinologia (7,20%) e Ortopedia (7,16%). Per giorno della settimana le differenze sono contenute, dal 6,86% del sabato al 7,11% del mercoledì.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7121" w:rsidRPr="00FB162B" w14:paraId="7B2BAFC3" w14:textId="77777777">
        <w:tc>
          <w:tcPr>
            <w:tcW w:w="10224" w:type="dxa"/>
            <w:shd w:val="clear" w:color="auto" w:fill="EAF1F5"/>
          </w:tcPr>
          <w:p w14:paraId="666992A5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b/>
                <w:color w:val="17324D"/>
                <w:sz w:val="22"/>
                <w:lang w:val="it-IT"/>
              </w:rPr>
              <w:t>Opportunità prioritaria</w:t>
            </w:r>
            <w:r w:rsidRPr="00E1661C">
              <w:rPr>
                <w:sz w:val="19"/>
                <w:lang w:val="it-IT"/>
              </w:rPr>
              <w:br/>
              <w:t>Passare da un reminder generalizzato a una strategia risk-based: maggiore intensità per i segmenti a rischio, soprattutto pazienti giovani e appuntamenti senza reminder.</w:t>
            </w:r>
          </w:p>
        </w:tc>
      </w:tr>
    </w:tbl>
    <w:p w14:paraId="5602B44A" w14:textId="77777777" w:rsidR="00917121" w:rsidRPr="00E1661C" w:rsidRDefault="00917121">
      <w:pPr>
        <w:rPr>
          <w:lang w:val="it-IT"/>
        </w:rPr>
      </w:pPr>
    </w:p>
    <w:p w14:paraId="40CB5CD0" w14:textId="77777777" w:rsidR="00917121" w:rsidRPr="00E1661C" w:rsidRDefault="00000000">
      <w:pPr>
        <w:pStyle w:val="Titolo1"/>
        <w:rPr>
          <w:lang w:val="it-IT"/>
        </w:rPr>
      </w:pPr>
      <w:r w:rsidRPr="00E1661C">
        <w:rPr>
          <w:lang w:val="it-IT"/>
        </w:rPr>
        <w:t>4. Dashboard — Business &amp; Revenue Insights</w:t>
      </w:r>
    </w:p>
    <w:p w14:paraId="54B480E9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Il fatturato è concentrato in alcune specialità e soprattutto nella città di Roma.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7121" w14:paraId="6CE5C495" w14:textId="77777777">
        <w:trPr>
          <w:jc w:val="center"/>
        </w:trPr>
        <w:tc>
          <w:tcPr>
            <w:tcW w:w="5112" w:type="dxa"/>
            <w:shd w:val="clear" w:color="auto" w:fill="17324D"/>
            <w:vAlign w:val="center"/>
          </w:tcPr>
          <w:p w14:paraId="2BC25352" w14:textId="77777777" w:rsidR="00917121" w:rsidRDefault="00000000">
            <w:r>
              <w:rPr>
                <w:b/>
                <w:color w:val="FFFFFF"/>
                <w:sz w:val="18"/>
              </w:rPr>
              <w:t>Specialità</w:t>
            </w:r>
          </w:p>
        </w:tc>
        <w:tc>
          <w:tcPr>
            <w:tcW w:w="5112" w:type="dxa"/>
            <w:shd w:val="clear" w:color="auto" w:fill="17324D"/>
            <w:vAlign w:val="center"/>
          </w:tcPr>
          <w:p w14:paraId="5903411C" w14:textId="77777777" w:rsidR="00917121" w:rsidRDefault="00000000">
            <w:r>
              <w:rPr>
                <w:b/>
                <w:color w:val="FFFFFF"/>
                <w:sz w:val="18"/>
              </w:rPr>
              <w:t>Fatturato incassato</w:t>
            </w:r>
          </w:p>
        </w:tc>
      </w:tr>
      <w:tr w:rsidR="00917121" w14:paraId="11E5EB05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45B37A2B" w14:textId="77777777" w:rsidR="00917121" w:rsidRDefault="00000000">
            <w:r>
              <w:rPr>
                <w:sz w:val="18"/>
              </w:rPr>
              <w:t>Ortopedia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1162AF25" w14:textId="77777777" w:rsidR="00917121" w:rsidRDefault="00000000">
            <w:r>
              <w:rPr>
                <w:sz w:val="18"/>
              </w:rPr>
              <w:t>€2,9 M</w:t>
            </w:r>
          </w:p>
        </w:tc>
      </w:tr>
      <w:tr w:rsidR="00917121" w14:paraId="1537E11F" w14:textId="77777777">
        <w:trPr>
          <w:jc w:val="center"/>
        </w:trPr>
        <w:tc>
          <w:tcPr>
            <w:tcW w:w="5112" w:type="dxa"/>
            <w:vAlign w:val="center"/>
          </w:tcPr>
          <w:p w14:paraId="3C75EAB8" w14:textId="77777777" w:rsidR="00917121" w:rsidRDefault="00000000">
            <w:r>
              <w:rPr>
                <w:sz w:val="18"/>
              </w:rPr>
              <w:t>Ginecologia</w:t>
            </w:r>
          </w:p>
        </w:tc>
        <w:tc>
          <w:tcPr>
            <w:tcW w:w="5112" w:type="dxa"/>
            <w:vAlign w:val="center"/>
          </w:tcPr>
          <w:p w14:paraId="12BA6EC3" w14:textId="77777777" w:rsidR="00917121" w:rsidRDefault="00000000">
            <w:r>
              <w:rPr>
                <w:sz w:val="18"/>
              </w:rPr>
              <w:t>€2,6 M</w:t>
            </w:r>
          </w:p>
        </w:tc>
      </w:tr>
      <w:tr w:rsidR="00917121" w14:paraId="0911EBF1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1BC4112B" w14:textId="77777777" w:rsidR="00917121" w:rsidRDefault="00000000">
            <w:r>
              <w:rPr>
                <w:sz w:val="18"/>
              </w:rPr>
              <w:lastRenderedPageBreak/>
              <w:t>Otorinolaringoiatria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4BD36D38" w14:textId="77777777" w:rsidR="00917121" w:rsidRDefault="00000000">
            <w:r>
              <w:rPr>
                <w:sz w:val="18"/>
              </w:rPr>
              <w:t>€2,5 M</w:t>
            </w:r>
          </w:p>
        </w:tc>
      </w:tr>
      <w:tr w:rsidR="00917121" w14:paraId="14F2EFB0" w14:textId="77777777">
        <w:trPr>
          <w:jc w:val="center"/>
        </w:trPr>
        <w:tc>
          <w:tcPr>
            <w:tcW w:w="5112" w:type="dxa"/>
            <w:vAlign w:val="center"/>
          </w:tcPr>
          <w:p w14:paraId="0F9533ED" w14:textId="77777777" w:rsidR="00917121" w:rsidRDefault="00000000">
            <w:r>
              <w:rPr>
                <w:sz w:val="18"/>
              </w:rPr>
              <w:t>Neurologia</w:t>
            </w:r>
          </w:p>
        </w:tc>
        <w:tc>
          <w:tcPr>
            <w:tcW w:w="5112" w:type="dxa"/>
            <w:vAlign w:val="center"/>
          </w:tcPr>
          <w:p w14:paraId="69F5C77D" w14:textId="77777777" w:rsidR="00917121" w:rsidRDefault="00000000">
            <w:r>
              <w:rPr>
                <w:sz w:val="18"/>
              </w:rPr>
              <w:t>€2,5 M</w:t>
            </w:r>
          </w:p>
        </w:tc>
      </w:tr>
      <w:tr w:rsidR="00917121" w14:paraId="7A46269E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46E1EE48" w14:textId="77777777" w:rsidR="00917121" w:rsidRDefault="00000000">
            <w:r>
              <w:rPr>
                <w:sz w:val="18"/>
              </w:rPr>
              <w:t>Cardiologia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647F1499" w14:textId="77777777" w:rsidR="00917121" w:rsidRDefault="00000000">
            <w:r>
              <w:rPr>
                <w:sz w:val="18"/>
              </w:rPr>
              <w:t>€2,4 M</w:t>
            </w:r>
          </w:p>
        </w:tc>
      </w:tr>
      <w:tr w:rsidR="00917121" w14:paraId="19B46E43" w14:textId="77777777">
        <w:trPr>
          <w:jc w:val="center"/>
        </w:trPr>
        <w:tc>
          <w:tcPr>
            <w:tcW w:w="5112" w:type="dxa"/>
            <w:vAlign w:val="center"/>
          </w:tcPr>
          <w:p w14:paraId="704470F5" w14:textId="77777777" w:rsidR="00917121" w:rsidRDefault="00000000">
            <w:r>
              <w:rPr>
                <w:sz w:val="18"/>
              </w:rPr>
              <w:t>Medicina Generale</w:t>
            </w:r>
          </w:p>
        </w:tc>
        <w:tc>
          <w:tcPr>
            <w:tcW w:w="5112" w:type="dxa"/>
            <w:vAlign w:val="center"/>
          </w:tcPr>
          <w:p w14:paraId="0CAE670F" w14:textId="77777777" w:rsidR="00917121" w:rsidRDefault="00000000">
            <w:r>
              <w:rPr>
                <w:sz w:val="18"/>
              </w:rPr>
              <w:t>€1,1 M</w:t>
            </w:r>
          </w:p>
        </w:tc>
      </w:tr>
    </w:tbl>
    <w:p w14:paraId="39F6C294" w14:textId="77777777" w:rsidR="00917121" w:rsidRDefault="00917121"/>
    <w:p w14:paraId="4A93711F" w14:textId="77777777" w:rsidR="00917121" w:rsidRDefault="00000000">
      <w:pPr>
        <w:pStyle w:val="Titolo2"/>
      </w:pPr>
      <w:r>
        <w:t>Concentrazione geografica</w:t>
      </w:r>
    </w:p>
    <w:p w14:paraId="1567856F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Roma genera circa €17,3 milioni, contro €3,1 M a Rieti, €2,0 M a Latina, €1,5 M a Frosinone e €1,5 M a Viterbo. La concentrazione è coerente con il peso della capitale, ma indica sia dipendenza territoriale sia un possibile spazio di crescita nelle altre aree.</w:t>
      </w:r>
    </w:p>
    <w:p w14:paraId="3F76BEA1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t>Tipo di assicurazione</w:t>
      </w:r>
    </w:p>
    <w:p w14:paraId="497BEF05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Il prezzo medio è molto simile tra SSN (€109,49), out-of-pocket (€109,06) e insurance (€109,00). Nel dataset simulato il tipo di copertura non emerge quindi come driver rilevante del prezzo medio.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7121" w:rsidRPr="00FB162B" w14:paraId="75914615" w14:textId="77777777">
        <w:tc>
          <w:tcPr>
            <w:tcW w:w="10224" w:type="dxa"/>
            <w:shd w:val="clear" w:color="auto" w:fill="EAF1F5"/>
          </w:tcPr>
          <w:p w14:paraId="328D6610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b/>
                <w:color w:val="17324D"/>
                <w:sz w:val="22"/>
                <w:lang w:val="it-IT"/>
              </w:rPr>
              <w:t>Implicazione manageriale</w:t>
            </w:r>
            <w:r w:rsidRPr="00E1661C">
              <w:rPr>
                <w:sz w:val="19"/>
                <w:lang w:val="it-IT"/>
              </w:rPr>
              <w:br/>
              <w:t>Proteggere le specialità ad alto valore e sviluppare progressivamente le aree territoriali meno mature, riducendo la dipendenza da Roma.</w:t>
            </w:r>
          </w:p>
        </w:tc>
      </w:tr>
    </w:tbl>
    <w:p w14:paraId="613A7E66" w14:textId="77777777" w:rsidR="00917121" w:rsidRPr="00E1661C" w:rsidRDefault="00917121">
      <w:pPr>
        <w:rPr>
          <w:lang w:val="it-IT"/>
        </w:rPr>
      </w:pPr>
    </w:p>
    <w:p w14:paraId="1C10091E" w14:textId="77777777" w:rsidR="00917121" w:rsidRPr="00E1661C" w:rsidRDefault="00000000">
      <w:pPr>
        <w:pStyle w:val="Titolo1"/>
        <w:rPr>
          <w:lang w:val="it-IT"/>
        </w:rPr>
      </w:pPr>
      <w:r w:rsidRPr="00E1661C">
        <w:rPr>
          <w:lang w:val="it-IT"/>
        </w:rPr>
        <w:t>5. Dashboard — Patient Analysis</w:t>
      </w:r>
    </w:p>
    <w:p w14:paraId="2E3A7341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La segmentazione mostra 53,4% di pazienti Medium Frequency, 44,6% Low Frequency e 2,0% High Frequency. Il segmento High Frequency è piccolo ma rappresenta circa €1 M di fatturato incassato; Medium Frequency circa €17 M e Low Frequency circa €7 M.</w:t>
      </w:r>
    </w:p>
    <w:p w14:paraId="136456AA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t>Top patients e rischio</w:t>
      </w:r>
    </w:p>
    <w:p w14:paraId="0B5D6744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La tabella mostra utenti con 11–17 visite e spesa individuale superiore a €2.100 nei casi esposti. Alcuni combinano elevato valore e rischio: il patient 6550 ha 17 visite e 23,53% di no-show, mentre il patient 29189 ha 11 visite e 18,18%. Sono casi particolarmente interessanti per una gestione prioritaria.</w:t>
      </w:r>
    </w:p>
    <w:p w14:paraId="194F5553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t>Attenzione alla metrica Total</w:t>
      </w:r>
    </w:p>
    <w:p w14:paraId="13891EC8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La riga Total del visual riporta €32,73 M e 300.000 visite. Questo valore non va confuso con €25,41 M di fatturato incassato: il visual paziente utilizza un perimetro economico differente. Nel documento il KPI ufficiale di ricavo resta pertanto il Fatturato Incassato.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7121" w:rsidRPr="00FB162B" w14:paraId="43F16820" w14:textId="77777777">
        <w:tc>
          <w:tcPr>
            <w:tcW w:w="10224" w:type="dxa"/>
            <w:shd w:val="clear" w:color="auto" w:fill="EAF1F5"/>
          </w:tcPr>
          <w:p w14:paraId="0E6E9907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b/>
                <w:color w:val="17324D"/>
                <w:sz w:val="22"/>
                <w:lang w:val="it-IT"/>
              </w:rPr>
              <w:t>Implicazione manageriale</w:t>
            </w:r>
            <w:r w:rsidRPr="00E1661C">
              <w:rPr>
                <w:sz w:val="19"/>
                <w:lang w:val="it-IT"/>
              </w:rPr>
              <w:br/>
              <w:t>Utilizzare una gestione differenziata: retention per utenti ad alto valore, riattivazione dei low-frequency users e reminder più intensivi per pazienti ad alto valore e alto rischio.</w:t>
            </w:r>
          </w:p>
        </w:tc>
      </w:tr>
    </w:tbl>
    <w:p w14:paraId="1F347183" w14:textId="77777777" w:rsidR="00917121" w:rsidRPr="00E1661C" w:rsidRDefault="00917121">
      <w:pPr>
        <w:rPr>
          <w:lang w:val="it-IT"/>
        </w:rPr>
      </w:pPr>
    </w:p>
    <w:p w14:paraId="39F378EB" w14:textId="77777777" w:rsidR="00917121" w:rsidRDefault="00000000">
      <w:pPr>
        <w:pStyle w:val="Titolo1"/>
      </w:pPr>
      <w:r>
        <w:t>6. Sintesi trasversale degli insight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7121" w14:paraId="24BCCD1F" w14:textId="77777777">
        <w:trPr>
          <w:jc w:val="center"/>
        </w:trPr>
        <w:tc>
          <w:tcPr>
            <w:tcW w:w="3408" w:type="dxa"/>
            <w:shd w:val="clear" w:color="auto" w:fill="17324D"/>
            <w:vAlign w:val="center"/>
          </w:tcPr>
          <w:p w14:paraId="4C72B067" w14:textId="77777777" w:rsidR="00917121" w:rsidRDefault="00000000">
            <w:r>
              <w:rPr>
                <w:b/>
                <w:color w:val="FFFFFF"/>
                <w:sz w:val="18"/>
              </w:rPr>
              <w:t>Insight</w:t>
            </w:r>
          </w:p>
        </w:tc>
        <w:tc>
          <w:tcPr>
            <w:tcW w:w="3408" w:type="dxa"/>
            <w:shd w:val="clear" w:color="auto" w:fill="17324D"/>
            <w:vAlign w:val="center"/>
          </w:tcPr>
          <w:p w14:paraId="66E641DF" w14:textId="77777777" w:rsidR="00917121" w:rsidRDefault="00000000">
            <w:r>
              <w:rPr>
                <w:b/>
                <w:color w:val="FFFFFF"/>
                <w:sz w:val="18"/>
              </w:rPr>
              <w:t>Evidenza</w:t>
            </w:r>
          </w:p>
        </w:tc>
        <w:tc>
          <w:tcPr>
            <w:tcW w:w="3408" w:type="dxa"/>
            <w:shd w:val="clear" w:color="auto" w:fill="17324D"/>
            <w:vAlign w:val="center"/>
          </w:tcPr>
          <w:p w14:paraId="2A79FBC7" w14:textId="77777777" w:rsidR="00917121" w:rsidRDefault="00000000">
            <w:r>
              <w:rPr>
                <w:b/>
                <w:color w:val="FFFFFF"/>
                <w:sz w:val="18"/>
              </w:rPr>
              <w:t>Azione</w:t>
            </w:r>
          </w:p>
        </w:tc>
      </w:tr>
      <w:tr w:rsidR="00917121" w14:paraId="68765131" w14:textId="77777777">
        <w:trPr>
          <w:jc w:val="center"/>
        </w:trPr>
        <w:tc>
          <w:tcPr>
            <w:tcW w:w="3408" w:type="dxa"/>
            <w:shd w:val="clear" w:color="auto" w:fill="F4F7F9"/>
            <w:vAlign w:val="center"/>
          </w:tcPr>
          <w:p w14:paraId="7A15F134" w14:textId="77777777" w:rsidR="00917121" w:rsidRDefault="00000000">
            <w:r>
              <w:rPr>
                <w:sz w:val="18"/>
              </w:rPr>
              <w:t>No-show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36D35B04" w14:textId="77777777" w:rsidR="00917121" w:rsidRDefault="00000000">
            <w:r>
              <w:rPr>
                <w:sz w:val="18"/>
              </w:rPr>
              <w:t>7%; 10,12% senza reminder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65577D7F" w14:textId="77777777" w:rsidR="00917121" w:rsidRDefault="00000000">
            <w:r>
              <w:rPr>
                <w:sz w:val="18"/>
              </w:rPr>
              <w:t>Aumentare coverage e targeting</w:t>
            </w:r>
          </w:p>
        </w:tc>
      </w:tr>
      <w:tr w:rsidR="00917121" w14:paraId="7377EE6C" w14:textId="77777777">
        <w:trPr>
          <w:jc w:val="center"/>
        </w:trPr>
        <w:tc>
          <w:tcPr>
            <w:tcW w:w="3408" w:type="dxa"/>
            <w:vAlign w:val="center"/>
          </w:tcPr>
          <w:p w14:paraId="1E15BFC3" w14:textId="77777777" w:rsidR="00917121" w:rsidRDefault="00000000">
            <w:r>
              <w:rPr>
                <w:sz w:val="18"/>
              </w:rPr>
              <w:t>Reminder</w:t>
            </w:r>
          </w:p>
        </w:tc>
        <w:tc>
          <w:tcPr>
            <w:tcW w:w="3408" w:type="dxa"/>
            <w:vAlign w:val="center"/>
          </w:tcPr>
          <w:p w14:paraId="436A5217" w14:textId="77777777" w:rsidR="00917121" w:rsidRDefault="00000000">
            <w:r>
              <w:rPr>
                <w:sz w:val="18"/>
              </w:rPr>
              <w:t>5,96% con vs 10,12% senza</w:t>
            </w:r>
          </w:p>
        </w:tc>
        <w:tc>
          <w:tcPr>
            <w:tcW w:w="3408" w:type="dxa"/>
            <w:vAlign w:val="center"/>
          </w:tcPr>
          <w:p w14:paraId="60DC0350" w14:textId="77777777" w:rsidR="00917121" w:rsidRDefault="00000000">
            <w:r>
              <w:rPr>
                <w:sz w:val="18"/>
              </w:rPr>
              <w:t>Strategia risk-based e test controllati</w:t>
            </w:r>
          </w:p>
        </w:tc>
      </w:tr>
      <w:tr w:rsidR="00917121" w14:paraId="1B01C6C4" w14:textId="77777777">
        <w:trPr>
          <w:jc w:val="center"/>
        </w:trPr>
        <w:tc>
          <w:tcPr>
            <w:tcW w:w="3408" w:type="dxa"/>
            <w:shd w:val="clear" w:color="auto" w:fill="F4F7F9"/>
            <w:vAlign w:val="center"/>
          </w:tcPr>
          <w:p w14:paraId="5B02A7AF" w14:textId="77777777" w:rsidR="00917121" w:rsidRDefault="00000000">
            <w:r>
              <w:rPr>
                <w:sz w:val="18"/>
              </w:rPr>
              <w:t>Territorio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0FE7C78F" w14:textId="77777777" w:rsidR="00917121" w:rsidRDefault="00000000">
            <w:r>
              <w:rPr>
                <w:sz w:val="18"/>
              </w:rPr>
              <w:t>Roma ~€17,3 M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49DF6A67" w14:textId="77777777" w:rsidR="00917121" w:rsidRDefault="00000000">
            <w:r>
              <w:rPr>
                <w:sz w:val="18"/>
              </w:rPr>
              <w:t>Sviluppo mirato delle province</w:t>
            </w:r>
          </w:p>
        </w:tc>
      </w:tr>
      <w:tr w:rsidR="00917121" w:rsidRPr="00FB162B" w14:paraId="11205372" w14:textId="77777777">
        <w:trPr>
          <w:jc w:val="center"/>
        </w:trPr>
        <w:tc>
          <w:tcPr>
            <w:tcW w:w="3408" w:type="dxa"/>
            <w:vAlign w:val="center"/>
          </w:tcPr>
          <w:p w14:paraId="2E32FC69" w14:textId="77777777" w:rsidR="00917121" w:rsidRDefault="00000000">
            <w:r>
              <w:rPr>
                <w:sz w:val="18"/>
              </w:rPr>
              <w:t>Specialità</w:t>
            </w:r>
          </w:p>
        </w:tc>
        <w:tc>
          <w:tcPr>
            <w:tcW w:w="3408" w:type="dxa"/>
            <w:vAlign w:val="center"/>
          </w:tcPr>
          <w:p w14:paraId="750A0C40" w14:textId="77777777" w:rsidR="00917121" w:rsidRDefault="00000000">
            <w:r>
              <w:rPr>
                <w:sz w:val="18"/>
              </w:rPr>
              <w:t>Ortopedia ~€2,9 M</w:t>
            </w:r>
          </w:p>
        </w:tc>
        <w:tc>
          <w:tcPr>
            <w:tcW w:w="3408" w:type="dxa"/>
            <w:vAlign w:val="center"/>
          </w:tcPr>
          <w:p w14:paraId="1D84F7BA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 xml:space="preserve">Proteggere capacità delle aree ad alto </w:t>
            </w:r>
            <w:r w:rsidRPr="00E1661C">
              <w:rPr>
                <w:sz w:val="18"/>
                <w:lang w:val="it-IT"/>
              </w:rPr>
              <w:lastRenderedPageBreak/>
              <w:t>valore</w:t>
            </w:r>
          </w:p>
        </w:tc>
      </w:tr>
      <w:tr w:rsidR="00917121" w14:paraId="5FD76D10" w14:textId="77777777">
        <w:trPr>
          <w:jc w:val="center"/>
        </w:trPr>
        <w:tc>
          <w:tcPr>
            <w:tcW w:w="3408" w:type="dxa"/>
            <w:shd w:val="clear" w:color="auto" w:fill="F4F7F9"/>
            <w:vAlign w:val="center"/>
          </w:tcPr>
          <w:p w14:paraId="202DEAB9" w14:textId="77777777" w:rsidR="00917121" w:rsidRDefault="00000000">
            <w:proofErr w:type="spellStart"/>
            <w:r>
              <w:rPr>
                <w:sz w:val="18"/>
              </w:rPr>
              <w:lastRenderedPageBreak/>
              <w:t>Segmentazione</w:t>
            </w:r>
            <w:proofErr w:type="spellEnd"/>
          </w:p>
        </w:tc>
        <w:tc>
          <w:tcPr>
            <w:tcW w:w="3408" w:type="dxa"/>
            <w:shd w:val="clear" w:color="auto" w:fill="F4F7F9"/>
            <w:vAlign w:val="center"/>
          </w:tcPr>
          <w:p w14:paraId="1C92786D" w14:textId="77777777" w:rsidR="00917121" w:rsidRDefault="00000000">
            <w:r>
              <w:rPr>
                <w:sz w:val="18"/>
              </w:rPr>
              <w:t>2% High Frequency</w:t>
            </w:r>
          </w:p>
        </w:tc>
        <w:tc>
          <w:tcPr>
            <w:tcW w:w="3408" w:type="dxa"/>
            <w:shd w:val="clear" w:color="auto" w:fill="F4F7F9"/>
            <w:vAlign w:val="center"/>
          </w:tcPr>
          <w:p w14:paraId="3A22B06F" w14:textId="77777777" w:rsidR="00917121" w:rsidRDefault="00000000">
            <w:r>
              <w:rPr>
                <w:sz w:val="18"/>
              </w:rPr>
              <w:t>Retention e continuità</w:t>
            </w:r>
          </w:p>
        </w:tc>
      </w:tr>
      <w:tr w:rsidR="00917121" w:rsidRPr="00FB162B" w14:paraId="65829B6A" w14:textId="77777777">
        <w:trPr>
          <w:jc w:val="center"/>
        </w:trPr>
        <w:tc>
          <w:tcPr>
            <w:tcW w:w="3408" w:type="dxa"/>
            <w:vAlign w:val="center"/>
          </w:tcPr>
          <w:p w14:paraId="667FD760" w14:textId="77777777" w:rsidR="00917121" w:rsidRDefault="00000000">
            <w:r>
              <w:rPr>
                <w:sz w:val="18"/>
              </w:rPr>
              <w:t>Pazienti a rischio</w:t>
            </w:r>
          </w:p>
        </w:tc>
        <w:tc>
          <w:tcPr>
            <w:tcW w:w="3408" w:type="dxa"/>
            <w:vAlign w:val="center"/>
          </w:tcPr>
          <w:p w14:paraId="5176728A" w14:textId="77777777" w:rsidR="00917121" w:rsidRDefault="00000000">
            <w:r>
              <w:rPr>
                <w:sz w:val="18"/>
              </w:rPr>
              <w:t>Top users con no-show fino a 23,53%</w:t>
            </w:r>
          </w:p>
        </w:tc>
        <w:tc>
          <w:tcPr>
            <w:tcW w:w="3408" w:type="dxa"/>
            <w:vAlign w:val="center"/>
          </w:tcPr>
          <w:p w14:paraId="4814EADA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sz w:val="18"/>
                <w:lang w:val="it-IT"/>
              </w:rPr>
              <w:t>Priorità su reminder e gestione agenda</w:t>
            </w:r>
          </w:p>
        </w:tc>
      </w:tr>
    </w:tbl>
    <w:p w14:paraId="5E9112C3" w14:textId="77777777" w:rsidR="00917121" w:rsidRPr="00E1661C" w:rsidRDefault="00917121">
      <w:pPr>
        <w:rPr>
          <w:lang w:val="it-IT"/>
        </w:rPr>
      </w:pPr>
    </w:p>
    <w:p w14:paraId="7E89BA32" w14:textId="77777777" w:rsidR="00917121" w:rsidRPr="00E1661C" w:rsidRDefault="00000000">
      <w:pPr>
        <w:pStyle w:val="Titolo1"/>
        <w:rPr>
          <w:lang w:val="it-IT"/>
        </w:rPr>
      </w:pPr>
      <w:r w:rsidRPr="00E1661C">
        <w:rPr>
          <w:lang w:val="it-IT"/>
        </w:rPr>
        <w:t>7. Raccomandazioni strategiche</w:t>
      </w:r>
    </w:p>
    <w:p w14:paraId="04B91DEF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t>1. Ottimizzare i reminder</w:t>
      </w:r>
    </w:p>
    <w:p w14:paraId="4CBE0069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Aumentare la copertura e assegnare maggiore intensità ai pazienti con probabilità di no-show più alta.</w:t>
      </w:r>
    </w:p>
    <w:p w14:paraId="3022AAE4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t>2. Introdurre una logica di priorità</w:t>
      </w:r>
    </w:p>
    <w:p w14:paraId="3D02B223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Combinare frequenza visite, storico no-show, età e valore economico per identificare i casi più critici.</w:t>
      </w:r>
    </w:p>
    <w:p w14:paraId="2B78C33B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t>3. Proteggere i segmenti ad alto valore</w:t>
      </w:r>
    </w:p>
    <w:p w14:paraId="52E67218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Costruire iniziative di retention e continuità per pazienti High Frequency e utenti ad alta spesa.</w:t>
      </w:r>
    </w:p>
    <w:p w14:paraId="6DB3DD61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t>4. Sviluppare i territori</w:t>
      </w:r>
    </w:p>
    <w:p w14:paraId="2840CA33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Analizzare il potenziale di Latina, Frosinone, Viterbo e Rieti per individuare domanda e capacità non pienamente sfruttate.</w:t>
      </w:r>
    </w:p>
    <w:p w14:paraId="5899D906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t>5. Monitorare la marginalità</w:t>
      </w:r>
    </w:p>
    <w:p w14:paraId="2127947F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Aggiungere costi provider, costi struttura e margine per prestazione in una fase successiva.</w:t>
      </w:r>
    </w:p>
    <w:p w14:paraId="06789366" w14:textId="77777777" w:rsidR="00917121" w:rsidRPr="00E1661C" w:rsidRDefault="00000000">
      <w:pPr>
        <w:pStyle w:val="Titolo2"/>
        <w:rPr>
          <w:lang w:val="it-IT"/>
        </w:rPr>
      </w:pPr>
      <w:r w:rsidRPr="00E1661C">
        <w:rPr>
          <w:lang w:val="it-IT"/>
        </w:rPr>
        <w:t>6. Evolvere verso la predictive analytics</w:t>
      </w:r>
    </w:p>
    <w:p w14:paraId="5ABB5990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Costruire un modello di probabilità di no-show e integrarlo in Power BI per il targeting dei reminder.</w:t>
      </w:r>
    </w:p>
    <w:p w14:paraId="6067DB47" w14:textId="77777777" w:rsidR="00917121" w:rsidRPr="00E1661C" w:rsidRDefault="00000000">
      <w:pPr>
        <w:pStyle w:val="Titolo1"/>
        <w:rPr>
          <w:lang w:val="it-IT"/>
        </w:rPr>
      </w:pPr>
      <w:r w:rsidRPr="00E1661C">
        <w:rPr>
          <w:lang w:val="it-IT"/>
        </w:rPr>
        <w:t>8. Evoluzione analitica del progetto</w:t>
      </w:r>
    </w:p>
    <w:p w14:paraId="0B541733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Le analisi descrittive rispondono a 'cosa sta succedendo?', mentre segmentazione e no-show iniziano a rispondere a 'dove intervenire?'. Il passo successivo sarebbe un modello supervisionato di probabilità di no-show, validato su dati temporali e valutato per precision, recall, calibrazione e impatto economico.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7121" w:rsidRPr="00FB162B" w14:paraId="1BCC64A8" w14:textId="77777777">
        <w:tc>
          <w:tcPr>
            <w:tcW w:w="10224" w:type="dxa"/>
            <w:shd w:val="clear" w:color="auto" w:fill="EAF1F5"/>
          </w:tcPr>
          <w:p w14:paraId="340AC24A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b/>
                <w:color w:val="17324D"/>
                <w:sz w:val="22"/>
                <w:lang w:val="it-IT"/>
              </w:rPr>
              <w:t>Next step</w:t>
            </w:r>
            <w:r w:rsidRPr="00E1661C">
              <w:rPr>
                <w:sz w:val="19"/>
                <w:lang w:val="it-IT"/>
              </w:rPr>
              <w:br/>
              <w:t>Un KPI particolarmente utile sarebbe Expected Lost Revenue = probabilità di no-show × valore della prestazione. Consentirebbe di ordinare gli appuntamenti per valore economico atteso a rischio, non solo per probabilità di assenza.</w:t>
            </w:r>
          </w:p>
        </w:tc>
      </w:tr>
    </w:tbl>
    <w:p w14:paraId="0B3E375C" w14:textId="77777777" w:rsidR="00917121" w:rsidRPr="00E1661C" w:rsidRDefault="00917121">
      <w:pPr>
        <w:rPr>
          <w:lang w:val="it-IT"/>
        </w:rPr>
      </w:pPr>
    </w:p>
    <w:p w14:paraId="6CDE6BFB" w14:textId="77777777" w:rsidR="00917121" w:rsidRPr="00E1661C" w:rsidRDefault="00000000">
      <w:pPr>
        <w:pStyle w:val="Titolo1"/>
        <w:rPr>
          <w:lang w:val="it-IT"/>
        </w:rPr>
      </w:pPr>
      <w:r w:rsidRPr="00E1661C">
        <w:rPr>
          <w:lang w:val="it-IT"/>
        </w:rPr>
        <w:t>9. Conclusioni finali</w:t>
      </w:r>
    </w:p>
    <w:p w14:paraId="2BE178CA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Il report rappresenta una piattaforma sanitaria digitale simulata con 50.000 pazienti, 300.000 appuntamenti e €25,41 milioni di fatturato incassato. Il quadro è positivo, ma la lettura combinata delle dashboard evidenzia tre aree prioritarie: efficienza degli appuntamenti, concentrazione del business e gestione differenziata dei pazienti.</w:t>
      </w:r>
    </w:p>
    <w:p w14:paraId="03E3B9EC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Il no-show del 7% è la principale inefficienza osservabile. Il gap tra reminder e assenza di reminder rende il processo di comunicazione una leva immediatamente azionabile. Parallelamente, Roma e le specialità ad alto valore concentrano una quota importante del business, mentre il segmento High Frequency, pur piccolo, merita una gestione specifica.</w:t>
      </w:r>
    </w:p>
    <w:p w14:paraId="526052B9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lastRenderedPageBreak/>
        <w:t>Il valore del progetto, dal punto di vista Data Analysis, risiede nel collegamento tra KPI economici, comportamento degli utenti e processi operativi. Power BI viene utilizzato per trasformare i dati in una narrazione decisionale: identificare il fenomeno, quantificarlo, segmentarlo e tradurre l'evidenza in possibili azioni.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7121" w:rsidRPr="00FB162B" w14:paraId="777A9F03" w14:textId="77777777">
        <w:tc>
          <w:tcPr>
            <w:tcW w:w="10224" w:type="dxa"/>
            <w:shd w:val="clear" w:color="auto" w:fill="E9F4EE"/>
          </w:tcPr>
          <w:p w14:paraId="545261B1" w14:textId="77777777" w:rsidR="00917121" w:rsidRPr="00E1661C" w:rsidRDefault="00000000">
            <w:pPr>
              <w:rPr>
                <w:lang w:val="it-IT"/>
              </w:rPr>
            </w:pPr>
            <w:r w:rsidRPr="00E1661C">
              <w:rPr>
                <w:b/>
                <w:color w:val="17324D"/>
                <w:sz w:val="22"/>
                <w:lang w:val="it-IT"/>
              </w:rPr>
              <w:t>Executive takeaway</w:t>
            </w:r>
            <w:r w:rsidRPr="00E1661C">
              <w:rPr>
                <w:sz w:val="19"/>
                <w:lang w:val="it-IT"/>
              </w:rPr>
              <w:br/>
              <w:t>Trasformare la gestione degli appuntamenti da reattiva a predittiva: identificare in anticipo i pazienti e gli appuntamenti più esposti al no-show, proteggere il valore economico a rischio e usare i dati per orientare crescita e allocazione delle risorse.</w:t>
            </w:r>
          </w:p>
        </w:tc>
      </w:tr>
    </w:tbl>
    <w:p w14:paraId="36331C85" w14:textId="77777777" w:rsidR="00917121" w:rsidRPr="00E1661C" w:rsidRDefault="00917121">
      <w:pPr>
        <w:rPr>
          <w:lang w:val="it-IT"/>
        </w:rPr>
      </w:pPr>
    </w:p>
    <w:p w14:paraId="61D9D97B" w14:textId="77777777" w:rsidR="00917121" w:rsidRDefault="00000000">
      <w:pPr>
        <w:pStyle w:val="Titolo1"/>
      </w:pPr>
      <w:r>
        <w:t>Appendice — Perimetro dati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7121" w14:paraId="0D06B846" w14:textId="77777777">
        <w:trPr>
          <w:jc w:val="center"/>
        </w:trPr>
        <w:tc>
          <w:tcPr>
            <w:tcW w:w="5112" w:type="dxa"/>
            <w:shd w:val="clear" w:color="auto" w:fill="17324D"/>
            <w:vAlign w:val="center"/>
          </w:tcPr>
          <w:p w14:paraId="7D79223D" w14:textId="77777777" w:rsidR="00917121" w:rsidRDefault="00000000">
            <w:r>
              <w:rPr>
                <w:b/>
                <w:color w:val="FFFFFF"/>
                <w:sz w:val="18"/>
              </w:rPr>
              <w:t>Tabella</w:t>
            </w:r>
          </w:p>
        </w:tc>
        <w:tc>
          <w:tcPr>
            <w:tcW w:w="5112" w:type="dxa"/>
            <w:shd w:val="clear" w:color="auto" w:fill="17324D"/>
            <w:vAlign w:val="center"/>
          </w:tcPr>
          <w:p w14:paraId="2B238735" w14:textId="77777777" w:rsidR="00917121" w:rsidRDefault="00000000">
            <w:r>
              <w:rPr>
                <w:b/>
                <w:color w:val="FFFFFF"/>
                <w:sz w:val="18"/>
              </w:rPr>
              <w:t>Record</w:t>
            </w:r>
          </w:p>
        </w:tc>
      </w:tr>
      <w:tr w:rsidR="00917121" w14:paraId="63B5795E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55D81BDC" w14:textId="77777777" w:rsidR="00917121" w:rsidRDefault="00000000">
            <w:r>
              <w:rPr>
                <w:sz w:val="18"/>
              </w:rPr>
              <w:t>patients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5EB1BD3B" w14:textId="77777777" w:rsidR="00917121" w:rsidRDefault="00000000">
            <w:r>
              <w:rPr>
                <w:sz w:val="18"/>
              </w:rPr>
              <w:t>50.000</w:t>
            </w:r>
          </w:p>
        </w:tc>
      </w:tr>
      <w:tr w:rsidR="00917121" w14:paraId="7FA6B31D" w14:textId="77777777">
        <w:trPr>
          <w:jc w:val="center"/>
        </w:trPr>
        <w:tc>
          <w:tcPr>
            <w:tcW w:w="5112" w:type="dxa"/>
            <w:vAlign w:val="center"/>
          </w:tcPr>
          <w:p w14:paraId="43FDEB6E" w14:textId="77777777" w:rsidR="00917121" w:rsidRDefault="00000000">
            <w:r>
              <w:rPr>
                <w:sz w:val="18"/>
              </w:rPr>
              <w:t>clinics</w:t>
            </w:r>
          </w:p>
        </w:tc>
        <w:tc>
          <w:tcPr>
            <w:tcW w:w="5112" w:type="dxa"/>
            <w:vAlign w:val="center"/>
          </w:tcPr>
          <w:p w14:paraId="7F3DC475" w14:textId="77777777" w:rsidR="00917121" w:rsidRDefault="00000000">
            <w:r>
              <w:rPr>
                <w:sz w:val="18"/>
              </w:rPr>
              <w:t>50</w:t>
            </w:r>
          </w:p>
        </w:tc>
      </w:tr>
      <w:tr w:rsidR="00917121" w14:paraId="652C82F1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39324E0E" w14:textId="77777777" w:rsidR="00917121" w:rsidRDefault="00000000">
            <w:r>
              <w:rPr>
                <w:sz w:val="18"/>
              </w:rPr>
              <w:t>providers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59E945ED" w14:textId="77777777" w:rsidR="00917121" w:rsidRDefault="00000000">
            <w:r>
              <w:rPr>
                <w:sz w:val="18"/>
              </w:rPr>
              <w:t>400</w:t>
            </w:r>
          </w:p>
        </w:tc>
      </w:tr>
      <w:tr w:rsidR="00917121" w14:paraId="271E8C6E" w14:textId="77777777">
        <w:trPr>
          <w:jc w:val="center"/>
        </w:trPr>
        <w:tc>
          <w:tcPr>
            <w:tcW w:w="5112" w:type="dxa"/>
            <w:vAlign w:val="center"/>
          </w:tcPr>
          <w:p w14:paraId="77A83C54" w14:textId="77777777" w:rsidR="00917121" w:rsidRDefault="00000000">
            <w:r>
              <w:rPr>
                <w:sz w:val="18"/>
              </w:rPr>
              <w:t>appointments</w:t>
            </w:r>
          </w:p>
        </w:tc>
        <w:tc>
          <w:tcPr>
            <w:tcW w:w="5112" w:type="dxa"/>
            <w:vAlign w:val="center"/>
          </w:tcPr>
          <w:p w14:paraId="0C1F481F" w14:textId="77777777" w:rsidR="00917121" w:rsidRDefault="00000000">
            <w:r>
              <w:rPr>
                <w:sz w:val="18"/>
              </w:rPr>
              <w:t>300.000</w:t>
            </w:r>
          </w:p>
        </w:tc>
      </w:tr>
      <w:tr w:rsidR="00917121" w14:paraId="68A146EC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59FE1028" w14:textId="77777777" w:rsidR="00917121" w:rsidRDefault="00000000">
            <w:r>
              <w:rPr>
                <w:sz w:val="18"/>
              </w:rPr>
              <w:t>diagnoses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02BEB137" w14:textId="77777777" w:rsidR="00917121" w:rsidRDefault="00000000">
            <w:r>
              <w:rPr>
                <w:sz w:val="18"/>
              </w:rPr>
              <w:t>259.368</w:t>
            </w:r>
          </w:p>
        </w:tc>
      </w:tr>
      <w:tr w:rsidR="00917121" w14:paraId="48AFBB18" w14:textId="77777777">
        <w:trPr>
          <w:jc w:val="center"/>
        </w:trPr>
        <w:tc>
          <w:tcPr>
            <w:tcW w:w="5112" w:type="dxa"/>
            <w:vAlign w:val="center"/>
          </w:tcPr>
          <w:p w14:paraId="0E2AB191" w14:textId="77777777" w:rsidR="00917121" w:rsidRDefault="00000000">
            <w:r>
              <w:rPr>
                <w:sz w:val="18"/>
              </w:rPr>
              <w:t>medications</w:t>
            </w:r>
          </w:p>
        </w:tc>
        <w:tc>
          <w:tcPr>
            <w:tcW w:w="5112" w:type="dxa"/>
            <w:vAlign w:val="center"/>
          </w:tcPr>
          <w:p w14:paraId="16EACC63" w14:textId="77777777" w:rsidR="00917121" w:rsidRDefault="00000000">
            <w:r>
              <w:rPr>
                <w:sz w:val="18"/>
              </w:rPr>
              <w:t>90.922</w:t>
            </w:r>
          </w:p>
        </w:tc>
      </w:tr>
      <w:tr w:rsidR="00917121" w14:paraId="5C254968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18A96C5A" w14:textId="77777777" w:rsidR="00917121" w:rsidRDefault="00000000">
            <w:r>
              <w:rPr>
                <w:sz w:val="18"/>
              </w:rPr>
              <w:t>billing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36AE6A00" w14:textId="77777777" w:rsidR="00917121" w:rsidRDefault="00000000">
            <w:r>
              <w:rPr>
                <w:sz w:val="18"/>
              </w:rPr>
              <w:t>259.368</w:t>
            </w:r>
          </w:p>
        </w:tc>
      </w:tr>
      <w:tr w:rsidR="00917121" w14:paraId="6D87ECEB" w14:textId="77777777">
        <w:trPr>
          <w:jc w:val="center"/>
        </w:trPr>
        <w:tc>
          <w:tcPr>
            <w:tcW w:w="5112" w:type="dxa"/>
            <w:vAlign w:val="center"/>
          </w:tcPr>
          <w:p w14:paraId="1D7DF898" w14:textId="77777777" w:rsidR="00917121" w:rsidRDefault="00000000">
            <w:r>
              <w:rPr>
                <w:sz w:val="18"/>
              </w:rPr>
              <w:t>lab_results</w:t>
            </w:r>
          </w:p>
        </w:tc>
        <w:tc>
          <w:tcPr>
            <w:tcW w:w="5112" w:type="dxa"/>
            <w:vAlign w:val="center"/>
          </w:tcPr>
          <w:p w14:paraId="04B6A295" w14:textId="77777777" w:rsidR="00917121" w:rsidRDefault="00000000">
            <w:r>
              <w:rPr>
                <w:sz w:val="18"/>
              </w:rPr>
              <w:t>64.753</w:t>
            </w:r>
          </w:p>
        </w:tc>
      </w:tr>
      <w:tr w:rsidR="00917121" w14:paraId="4ADCEA1E" w14:textId="77777777">
        <w:trPr>
          <w:jc w:val="center"/>
        </w:trPr>
        <w:tc>
          <w:tcPr>
            <w:tcW w:w="5112" w:type="dxa"/>
            <w:shd w:val="clear" w:color="auto" w:fill="F4F7F9"/>
            <w:vAlign w:val="center"/>
          </w:tcPr>
          <w:p w14:paraId="1298D575" w14:textId="77777777" w:rsidR="00917121" w:rsidRDefault="00000000">
            <w:r>
              <w:rPr>
                <w:sz w:val="18"/>
              </w:rPr>
              <w:t>feedback</w:t>
            </w:r>
          </w:p>
        </w:tc>
        <w:tc>
          <w:tcPr>
            <w:tcW w:w="5112" w:type="dxa"/>
            <w:shd w:val="clear" w:color="auto" w:fill="F4F7F9"/>
            <w:vAlign w:val="center"/>
          </w:tcPr>
          <w:p w14:paraId="0C419424" w14:textId="77777777" w:rsidR="00917121" w:rsidRDefault="00000000">
            <w:r>
              <w:rPr>
                <w:sz w:val="18"/>
              </w:rPr>
              <w:t>46.751</w:t>
            </w:r>
          </w:p>
        </w:tc>
      </w:tr>
    </w:tbl>
    <w:p w14:paraId="180E4DDA" w14:textId="77777777" w:rsidR="00917121" w:rsidRDefault="00917121"/>
    <w:p w14:paraId="77CD6C93" w14:textId="77777777" w:rsidR="00917121" w:rsidRPr="00E1661C" w:rsidRDefault="00000000">
      <w:pPr>
        <w:rPr>
          <w:lang w:val="it-IT"/>
        </w:rPr>
      </w:pPr>
      <w:r w:rsidRPr="00E1661C">
        <w:rPr>
          <w:lang w:val="it-IT"/>
        </w:rPr>
        <w:t>I dati sono sintetici e non rappresentano persone reali. ICD-10 e ATC sono utilizzati come codifiche di riferimento per rendere la struttura del dataset più realistica; le osservazioni restano comunque simulazioni.</w:t>
      </w:r>
    </w:p>
    <w:sectPr w:rsidR="00917121" w:rsidRPr="00E1661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B704" w14:textId="77777777" w:rsidR="002962D6" w:rsidRDefault="002962D6">
      <w:pPr>
        <w:spacing w:after="0" w:line="240" w:lineRule="auto"/>
      </w:pPr>
      <w:r>
        <w:separator/>
      </w:r>
    </w:p>
  </w:endnote>
  <w:endnote w:type="continuationSeparator" w:id="0">
    <w:p w14:paraId="2EDCA318" w14:textId="77777777" w:rsidR="002962D6" w:rsidRDefault="00296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6AE5" w14:textId="77777777" w:rsidR="00917121" w:rsidRDefault="00000000">
    <w:pPr>
      <w:pStyle w:val="Pidipagina"/>
      <w:jc w:val="center"/>
    </w:pPr>
    <w:r>
      <w:rPr>
        <w:color w:val="66737F"/>
        <w:sz w:val="16"/>
      </w:rPr>
      <w:t>Medical Platform Data Analysis • Simulated Lazio Dataset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06935" w14:textId="77777777" w:rsidR="002962D6" w:rsidRDefault="002962D6">
      <w:pPr>
        <w:spacing w:after="0" w:line="240" w:lineRule="auto"/>
      </w:pPr>
      <w:r>
        <w:separator/>
      </w:r>
    </w:p>
  </w:footnote>
  <w:footnote w:type="continuationSeparator" w:id="0">
    <w:p w14:paraId="757C14C1" w14:textId="77777777" w:rsidR="002962D6" w:rsidRDefault="00296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705677">
    <w:abstractNumId w:val="8"/>
  </w:num>
  <w:num w:numId="2" w16cid:durableId="1345090227">
    <w:abstractNumId w:val="6"/>
  </w:num>
  <w:num w:numId="3" w16cid:durableId="953558196">
    <w:abstractNumId w:val="5"/>
  </w:num>
  <w:num w:numId="4" w16cid:durableId="2052924139">
    <w:abstractNumId w:val="4"/>
  </w:num>
  <w:num w:numId="5" w16cid:durableId="996688186">
    <w:abstractNumId w:val="7"/>
  </w:num>
  <w:num w:numId="6" w16cid:durableId="282658380">
    <w:abstractNumId w:val="3"/>
  </w:num>
  <w:num w:numId="7" w16cid:durableId="1348561133">
    <w:abstractNumId w:val="2"/>
  </w:num>
  <w:num w:numId="8" w16cid:durableId="931474547">
    <w:abstractNumId w:val="1"/>
  </w:num>
  <w:num w:numId="9" w16cid:durableId="133942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2D6"/>
    <w:rsid w:val="0029639D"/>
    <w:rsid w:val="00326F90"/>
    <w:rsid w:val="003C7C8A"/>
    <w:rsid w:val="00687D82"/>
    <w:rsid w:val="00917121"/>
    <w:rsid w:val="00A4444F"/>
    <w:rsid w:val="00AA1D8D"/>
    <w:rsid w:val="00B100BF"/>
    <w:rsid w:val="00B47730"/>
    <w:rsid w:val="00CB0664"/>
    <w:rsid w:val="00DB68D8"/>
    <w:rsid w:val="00DD3DF8"/>
    <w:rsid w:val="00E1661C"/>
    <w:rsid w:val="00FB1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F99B3"/>
  <w14:defaultImageDpi w14:val="300"/>
  <w15:docId w15:val="{8317541D-CA50-4781-8CBF-42A099E2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color w:val="263238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4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690"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8D8A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FABRIZIO FAGETTI</cp:lastModifiedBy>
  <cp:revision>4</cp:revision>
  <cp:lastPrinted>2026-09-16T09:00:00Z</cp:lastPrinted>
  <dcterms:created xsi:type="dcterms:W3CDTF">2013-12-23T23:15:00Z</dcterms:created>
  <dcterms:modified xsi:type="dcterms:W3CDTF">2026-09-20T09:50:00Z</dcterms:modified>
  <cp:category/>
</cp:coreProperties>
</file>