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32"/>
        </w:rPr>
        <w:t>Verbale della riunione del Consiglio di Amministrazione n. 7/2026</w:t>
      </w:r>
    </w:p>
    <w:p>
      <w:r>
        <w:rPr>
          <w:i/>
          <w:color w:val="5A6270"/>
          <w:sz w:val="21"/>
        </w:rPr>
        <w:t>Seduta del 15 luglio 2026 – Prot. CDA/2026/07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Data e luogo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15 luglio 2026, ore 10:00, presso la sede sociale in Milano, Via Alessandro Manzoni 42, con possibilità di collegamento in audio-video conferenza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Presiede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Giorgio Tessari – Presidente del Consiglio di Amministrazione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Consiglieri presenti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Giorgio Tessari (Presidente, non esecutivo); Marco Bellandi (Amministratore Delegato); Laura Visconti (consigliere indipendente, Presidente del Comitato Rischi e Controlli); Paolo Ferraris (consigliere non esecutivo, collegato in videoconferenza)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Assenti giustificati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Francesca Neri (consigliere indipendente)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Collegio Sindacale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Roberto Salvadori (Presidente); Giulia Bassi (sindaco effettivo)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Invitati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Elena Rinaldi – CFO (punti 2 e 3); Stefano Galli – Responsabile Internal Audit (punto 4); Andrea Fontana – Compliance Officer (punti 4 e 5)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Segretario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Valentina Russo – Legal Counsel e Segretario del Consiglio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</w:rPr>
        <w:t>Il Presidente, constatata la regolare convocazione della riunione avvenuta con avviso del 7 luglio 2026 e la presenza della maggioranza dei consiglieri in carica e del Collegio Sindacale, dichiara la seduta validamente costituita e atta a deliberare sul seguente</w:t>
      </w:r>
    </w:p>
    <w:p>
      <w:pPr>
        <w:pStyle w:val="Heading1"/>
      </w:pPr>
      <w:r>
        <w:t>Ordine del giorno</w:t>
      </w:r>
    </w:p>
    <w:p>
      <w:pPr>
        <w:spacing w:after="20"/>
        <w:ind w:left="340"/>
      </w:pPr>
      <w:r>
        <w:rPr>
          <w:b w:val="0"/>
        </w:rPr>
        <w:t>1. Approvazione del verbale della seduta del 27 maggio 2026</w:t>
      </w:r>
    </w:p>
    <w:p>
      <w:pPr>
        <w:spacing w:after="20"/>
        <w:ind w:left="340"/>
      </w:pPr>
      <w:r>
        <w:rPr>
          <w:b w:val="0"/>
        </w:rPr>
        <w:t>2. Piano Strategico 2026–2028: esame e approvazione</w:t>
      </w:r>
    </w:p>
    <w:p>
      <w:pPr>
        <w:spacing w:after="20"/>
        <w:ind w:left="340"/>
      </w:pPr>
      <w:r>
        <w:rPr>
          <w:b w:val="0"/>
        </w:rPr>
        <w:t>3. Andamento gestionale preliminare del secondo trimestre 2026</w:t>
      </w:r>
    </w:p>
    <w:p>
      <w:pPr>
        <w:spacing w:after="20"/>
        <w:ind w:left="340"/>
      </w:pPr>
      <w:r>
        <w:rPr>
          <w:b w:val="0"/>
        </w:rPr>
        <w:t>4. Rapporto di Internal Audit n. 07/2026 sui presidi di compliance: presa d'atto</w:t>
      </w:r>
    </w:p>
    <w:p>
      <w:pPr>
        <w:spacing w:after="20"/>
        <w:ind w:left="340"/>
      </w:pPr>
      <w:r>
        <w:rPr>
          <w:b w:val="0"/>
        </w:rPr>
        <w:t>5. Presidio antiriciclaggio: conferimento di incarico per una verifica indipendente</w:t>
      </w:r>
    </w:p>
    <w:p>
      <w:pPr>
        <w:spacing w:after="20"/>
        <w:ind w:left="340"/>
      </w:pPr>
      <w:r>
        <w:rPr>
          <w:b w:val="0"/>
        </w:rPr>
        <w:t>6. Progetto di acquisizione di una boutique di consulenza regolamentare: aggiornamento</w:t>
      </w:r>
    </w:p>
    <w:p>
      <w:pPr>
        <w:spacing w:after="20"/>
        <w:ind w:left="340"/>
      </w:pPr>
      <w:r>
        <w:rPr>
          <w:b w:val="0"/>
        </w:rPr>
        <w:t>7. Rinnovo della polizza assicurativa D&amp;O</w:t>
      </w:r>
    </w:p>
    <w:p>
      <w:pPr>
        <w:spacing w:after="20"/>
        <w:ind w:left="340"/>
      </w:pPr>
      <w:r>
        <w:rPr>
          <w:b w:val="0"/>
        </w:rPr>
        <w:t>8. Varie ed eventuali</w:t>
      </w:r>
    </w:p>
    <w:p>
      <w:pPr>
        <w:pStyle w:val="Heading1"/>
      </w:pPr>
      <w:r>
        <w:t>Svolgimento della riunione</w:t>
      </w:r>
    </w:p>
    <w:p>
      <w:pPr>
        <w:pStyle w:val="Heading2"/>
      </w:pPr>
      <w:r>
        <w:t>1. Approvazione del verbale della seduta precedente</w:t>
      </w:r>
    </w:p>
    <w:p>
      <w:pPr>
        <w:jc w:val="both"/>
      </w:pPr>
      <w:r>
        <w:rPr>
          <w:b w:val="0"/>
        </w:rPr>
        <w:t>Il verbale della seduta del 27 maggio 2026, trasmesso ai consiglieri in data 3 giugno 2026, è approvato all'unanimità senza osservazioni.</w:t>
      </w:r>
    </w:p>
    <w:p>
      <w:pPr>
        <w:pStyle w:val="Heading2"/>
      </w:pPr>
      <w:r>
        <w:t>2. Piano Strategico 2026–2028</w:t>
      </w:r>
    </w:p>
    <w:p>
      <w:pPr>
        <w:jc w:val="both"/>
      </w:pPr>
      <w:r>
        <w:rPr>
          <w:b w:val="0"/>
        </w:rPr>
        <w:t>L'Amministratore Delegato illustra il Piano Strategico 2026–2028 "Trusted Growth" (prot. STR/2026/002, v1.2 del 30 giugno 2026), che prevede ricavi pari a 52,0 milioni di euro e un margine EBITDA del 22,0% nel 2028, investimenti complessivi per 9,6 milioni di euro nel triennio (di cui 2,1 milioni nel 2026) e l'avvio della nuova linea di servizi ESG. La consigliera Visconti chiede chiarimenti sulla sostenibilità dell'obiettivo di margine alla luce dell'andamento del secondo trimestre; l'Amministratore Delegato precisa che il recupero di marginalità è legato principalmente all'automazione della reportistica prevista con la piattaforma DT Comply 2.0. Il consigliere Ferraris chiede conferma delle modalità di finanziamento; la CFO conferma che gli investimenti saranno coperti con autofinanziamento e cassa disponibile, senza nuovo indebitamento, salvo l'eventuale acquisizione.</w:t>
      </w:r>
    </w:p>
    <w:p>
      <w:pPr>
        <w:jc w:val="both"/>
      </w:pPr>
      <w:r>
        <w:rPr>
          <w:b/>
        </w:rPr>
        <w:t>Delibera n. 7.1</w:t>
      </w:r>
      <w:r>
        <w:rPr>
          <w:b w:val="0"/>
        </w:rPr>
        <w:t xml:space="preserve"> – Il Consiglio, all'unanimità, </w:t>
      </w:r>
      <w:r>
        <w:rPr>
          <w:b/>
        </w:rPr>
        <w:t>approva</w:t>
      </w:r>
      <w:r>
        <w:rPr>
          <w:b w:val="0"/>
        </w:rPr>
        <w:t xml:space="preserve"> il Piano Strategico 2026–2028 e autorizza l'Amministratore Delegato a impegnare gli investimenti previsti per l'esercizio 2026 nel limite di 2,1 milioni di euro. L'Amministratore Delegato riferirà semestralmente al Consiglio sullo stato di avanzamento del Piano.</w:t>
      </w:r>
    </w:p>
    <w:p>
      <w:pPr>
        <w:pStyle w:val="Heading2"/>
      </w:pPr>
      <w:r>
        <w:t>3. Andamento gestionale preliminare del secondo trimestre 2026</w:t>
      </w:r>
    </w:p>
    <w:p>
      <w:pPr>
        <w:jc w:val="both"/>
      </w:pPr>
      <w:r>
        <w:rPr>
          <w:b w:val="0"/>
        </w:rPr>
        <w:t>La CFO presenta i dati preliminari del secondo trimestre: ricavi pari a circa 9,6 milioni di euro (budget: 9,80 milioni) ed EBITDA pari a circa 1,5 milioni di euro, con un margine di circa il 15,5% a fronte del 19,0% previsto a budget. Lo scostamento è principalmente riconducibile ai maggiori costi per consulenze esterne connessi al programma di adeguamento antiriciclaggio e al recupero dei ritardi nella reportistica della divisione Risk &amp; Reporting Services. Il Report Finanziario definitivo sarà emesso entro il 24 luglio 2026.</w:t>
      </w:r>
    </w:p>
    <w:p>
      <w:pPr>
        <w:jc w:val="both"/>
      </w:pPr>
      <w:r>
        <w:rPr>
          <w:b w:val="0"/>
        </w:rPr>
        <w:t xml:space="preserve">Il Consiglio </w:t>
      </w:r>
      <w:r>
        <w:rPr>
          <w:b/>
        </w:rPr>
        <w:t>prende atto</w:t>
      </w:r>
      <w:r>
        <w:rPr>
          <w:b w:val="0"/>
        </w:rPr>
        <w:t xml:space="preserve"> e chiede alla CFO di trasmettere, unitamente al Report definitivo, una previsione aggiornata di chiusura dell'esercizio.</w:t>
      </w:r>
    </w:p>
    <w:p>
      <w:pPr>
        <w:pStyle w:val="Heading2"/>
      </w:pPr>
      <w:r>
        <w:t>4. Rapporto di Internal Audit n. 07/2026</w:t>
      </w:r>
    </w:p>
    <w:p>
      <w:pPr>
        <w:jc w:val="both"/>
      </w:pPr>
      <w:r>
        <w:rPr>
          <w:b w:val="0"/>
        </w:rPr>
        <w:t>Il Responsabile Internal Audit illustra sinteticamente il Rapporto IA/REP/2026/007 del 26 giugno 2026, che esprime un giudizio complessivo "Parzialmente adeguato" e formula sei rilievi, di cui due a rischio alto (F-01, adeguata verifica rafforzata incompleta; F-02, controlli sulla reportistica ai clienti istituzionali). Il Presidente del Collegio Sindacale raccomanda un attento monitoraggio delle scadenze di rimedio.</w:t>
      </w:r>
    </w:p>
    <w:p>
      <w:pPr>
        <w:jc w:val="both"/>
      </w:pPr>
      <w:r>
        <w:rPr>
          <w:b w:val="0"/>
        </w:rPr>
        <w:t xml:space="preserve">Il Consiglio </w:t>
      </w:r>
      <w:r>
        <w:rPr>
          <w:b/>
        </w:rPr>
        <w:t>prende atto</w:t>
      </w:r>
      <w:r>
        <w:rPr>
          <w:b w:val="0"/>
        </w:rPr>
        <w:t xml:space="preserve"> del Rapporto e ne rinvia l'esame di dettaglio al Comitato Rischi e Controlli, convocato per il 3 agosto 2026.</w:t>
      </w:r>
    </w:p>
    <w:p>
      <w:pPr>
        <w:pStyle w:val="Heading2"/>
      </w:pPr>
      <w:r>
        <w:t>5. Presidio antiriciclaggio: verifica indipendente</w:t>
      </w:r>
    </w:p>
    <w:p>
      <w:pPr>
        <w:jc w:val="both"/>
      </w:pPr>
      <w:r>
        <w:rPr>
          <w:b w:val="0"/>
        </w:rPr>
        <w:t>Il Presidente, alla luce del rilievo F-01 e delle scadenze fissate dalla Circolare Regolatoria AML n. 14/2026, propone di affidare a un advisor esterno una verifica indipendente (quality assurance) sull'adeguatezza del modello organizzativo antiriciclaggio della Società. Il Compliance Officer esprime parere favorevole.</w:t>
      </w:r>
    </w:p>
    <w:p>
      <w:pPr>
        <w:jc w:val="both"/>
      </w:pPr>
      <w:r>
        <w:rPr>
          <w:b/>
        </w:rPr>
        <w:t>Delibera n. 7.2</w:t>
      </w:r>
      <w:r>
        <w:rPr>
          <w:b w:val="0"/>
        </w:rPr>
        <w:t xml:space="preserve"> – Il Consiglio, all'unanimità, </w:t>
      </w:r>
      <w:r>
        <w:rPr>
          <w:b/>
        </w:rPr>
        <w:t>conferisce mandato</w:t>
      </w:r>
      <w:r>
        <w:rPr>
          <w:b w:val="0"/>
        </w:rPr>
        <w:t xml:space="preserve"> all'Amministratore Delegato di selezionare, previa acquisizione di almeno tre offerte, un advisor indipendente per la verifica del modello antiriciclaggio, entro un budget massimo di 60.000 euro, e di presentare al Consiglio la relazione conclusiva dell'advisor </w:t>
      </w:r>
      <w:r>
        <w:rPr>
          <w:b/>
        </w:rPr>
        <w:t>entro il 31 agosto 2026</w:t>
      </w:r>
      <w:r>
        <w:rPr>
          <w:b w:val="0"/>
        </w:rPr>
        <w:t>.</w:t>
      </w:r>
    </w:p>
    <w:p>
      <w:pPr>
        <w:pStyle w:val="Heading2"/>
      </w:pPr>
      <w:r>
        <w:t>6. Progetto di acquisizione</w:t>
      </w:r>
    </w:p>
    <w:p>
      <w:pPr>
        <w:jc w:val="both"/>
      </w:pPr>
      <w:r>
        <w:rPr>
          <w:b w:val="0"/>
        </w:rPr>
        <w:t>L'Amministratore Delegato aggiorna il Consiglio sui contatti avviati con una boutique di consulenza regolamentare in ambito assicurativo (fatturato indicativo 3–4 milioni di euro). La due diligence finanziaria e legale non è ancora conclusa.</w:t>
      </w:r>
    </w:p>
    <w:p>
      <w:pPr>
        <w:jc w:val="both"/>
      </w:pPr>
      <w:r>
        <w:rPr>
          <w:b/>
        </w:rPr>
        <w:t>Delibera n. 7.3</w:t>
      </w:r>
      <w:r>
        <w:rPr>
          <w:b w:val="0"/>
        </w:rPr>
        <w:t xml:space="preserve"> – Il Consiglio </w:t>
      </w:r>
      <w:r>
        <w:rPr>
          <w:b/>
        </w:rPr>
        <w:t>rinvia</w:t>
      </w:r>
      <w:r>
        <w:rPr>
          <w:b w:val="0"/>
        </w:rPr>
        <w:t xml:space="preserve"> ogni determinazione alla prima seduta utile successiva al completamento della due diligence.</w:t>
      </w:r>
    </w:p>
    <w:p>
      <w:pPr>
        <w:pStyle w:val="Heading2"/>
      </w:pPr>
      <w:r>
        <w:t>7. Rinnovo della polizza D&amp;O</w:t>
      </w:r>
    </w:p>
    <w:p>
      <w:pPr>
        <w:jc w:val="both"/>
      </w:pPr>
      <w:r>
        <w:rPr>
          <w:b w:val="0"/>
        </w:rPr>
        <w:t>La Segretaria del Consiglio riferisce che la polizza D&amp;O scade il 30 settembre 2026 e che è pervenuta una sola offerta di rinnovo, con un incremento del premio del 18%.</w:t>
      </w:r>
    </w:p>
    <w:p>
      <w:pPr>
        <w:jc w:val="both"/>
      </w:pPr>
      <w:r>
        <w:rPr>
          <w:b/>
        </w:rPr>
        <w:t>Delibera n. 7.4</w:t>
      </w:r>
      <w:r>
        <w:rPr>
          <w:b w:val="0"/>
        </w:rPr>
        <w:t xml:space="preserve"> – Il Consiglio </w:t>
      </w:r>
      <w:r>
        <w:rPr>
          <w:b/>
        </w:rPr>
        <w:t>rinvia</w:t>
      </w:r>
      <w:r>
        <w:rPr>
          <w:b w:val="0"/>
        </w:rPr>
        <w:t xml:space="preserve"> la decisione, chiedendo di acquisire almeno due ulteriori quotazioni tramite il broker entro la prossima seduta.</w:t>
      </w:r>
    </w:p>
    <w:p>
      <w:pPr>
        <w:pStyle w:val="Heading2"/>
      </w:pPr>
      <w:r>
        <w:t>8. Varie ed eventuali</w:t>
      </w:r>
    </w:p>
    <w:p>
      <w:pPr>
        <w:jc w:val="both"/>
      </w:pPr>
      <w:r>
        <w:rPr>
          <w:b w:val="0"/>
        </w:rPr>
        <w:t>Nessun ulteriore argomento. Non essendovi altro da deliberare, il Presidente dichiara chiusa la seduta alle ore 13:10.</w:t>
      </w:r>
    </w:p>
    <w:p>
      <w:pPr>
        <w:pStyle w:val="Heading1"/>
      </w:pPr>
      <w:r>
        <w:t>Riepilogo delle delibere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195"/>
        <w:gridCol w:w="1247"/>
        <w:gridCol w:w="1474"/>
        <w:gridCol w:w="1814"/>
      </w:tblGrid>
      <w:t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N.</w:t>
            </w:r>
          </w:p>
        </w:tc>
        <w:tc>
          <w:tcPr>
            <w:tcW w:type="dxa" w:w="419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Oggetto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Esito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Responsabile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Scadenza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7.1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Approvazione Piano Strategico 2026–2028 e investimenti 2026 (2,1 mln €)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Approvata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M. Bellandi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Informativa semestrale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7.2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Mandato per verifica indipendente del modello AML (budget max 60.000 €)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Approvata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M. Bellandi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31/08/2026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7.3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Acquisizione boutique di consulenza regolamentare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Rinviata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M. Bellandi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Dopo due diligence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7.4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Rinnovo polizza D&amp;O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Rinviata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V. Russo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Prossima seduta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Il Presidente: </w:t>
      </w:r>
      <w:r>
        <w:rPr>
          <w:b/>
        </w:rPr>
        <w:t>Giorgio Tessari</w:t>
      </w:r>
      <w:r>
        <w:rPr>
          <w:b w:val="0"/>
        </w:rPr>
        <w:t xml:space="preserve">                                        Il Segretario: </w:t>
      </w:r>
      <w:r>
        <w:rPr>
          <w:b/>
        </w:rPr>
        <w:t>Valentina Russo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DataTrust Solutions S.p.A. – Via Alessandro Manzoni 42, 20121 Milano – C.F./P.IVA 09876540963</w:t>
    </w:r>
  </w:p>
  <w:p>
    <w:r>
      <w:rPr>
        <w:sz w:val="15"/>
      </w:rPr>
      <w:t xml:space="preserve">Verbale CdA n. 7/2026 – Prot. CDA/2026/07 – Pagina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di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3A5F"/>
        <w:sz w:val="20"/>
      </w:rPr>
      <w:t>DataTrust Solutions S.p.A.</w:t>
    </w:r>
    <w:r>
      <w:rPr>
        <w:sz w:val="17"/>
      </w:rPr>
      <w:tab/>
      <w:tab/>
      <w:t>Segreteria Societaria</w:t>
    </w:r>
  </w:p>
  <w:p>
    <w:pPr>
      <w:jc w:val="right"/>
    </w:pPr>
    <w:r>
      <w:rPr>
        <w:b/>
        <w:color w:val="B3261E"/>
        <w:sz w:val="17"/>
      </w:rPr>
      <w:t>RISERVATO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Verbale del Consiglio di Amministrazione del 15 luglio 2026</dc:title>
  <dc:subject>Governance</dc:subject>
  <dc:creator>Valentina Russo</dc:creator>
  <cp:keywords>CdA, verbale, delibere, Piano Strategico 2026-2028</cp:keywords>
  <dc:description>generated by python-docx</dc:description>
  <cp:lastModifiedBy/>
  <cp:revision>1</cp:revision>
  <dcterms:created xsi:type="dcterms:W3CDTF">2026-07-17T09:00:00Z</dcterms:created>
  <dcterms:modified xsi:type="dcterms:W3CDTF">2013-12-23T23:15:00Z</dcterms:modified>
  <cp:category>Governance</cp:category>
</cp:coreProperties>
</file>