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2"/>
        </w:rPr>
        <w:t>Verbale della riunione del Comitato Rischi e Controlli n. 4/2026</w:t>
      </w:r>
    </w:p>
    <w:p>
      <w:r>
        <w:rPr>
          <w:i/>
          <w:color w:val="5A6270"/>
          <w:sz w:val="21"/>
        </w:rPr>
        <w:t>Seduta del 3 agosto 2026 – Prot. CRC/2026/04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Data e luogo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3 agosto 2026, ore 14:30, sede sociale di Milano, Via Alessandro Manzoni 42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Componenti presenti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Laura Visconti (Presidente del Comitato, consigliere indipendente); Paolo Ferraris (consigliere non esecutivo); Giorgio Tessari (Presidente del CdA)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Collegio Sindacale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Roberto Salvadori (Presidente)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Invitati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Stefano Galli (Internal Audit); Andrea Fontana (Compliance e AML); Chiara Moretti (DPO); Davide Conti (Responsabile IT); Luca Marchetti (Responsabile Risk &amp; Reporting Services); Elena Rinaldi (CFO, punto 3)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Segretario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Valentina Russo – Legal Counsel</w:t>
            </w:r>
          </w:p>
        </w:tc>
      </w:tr>
    </w:tbl>
    <w:p>
      <w:pPr>
        <w:spacing w:after="40"/>
      </w:pPr>
    </w:p>
    <w:p>
      <w:pPr>
        <w:pStyle w:val="Heading1"/>
      </w:pPr>
      <w:r>
        <w:t>Ordine del giorno</w:t>
      </w:r>
    </w:p>
    <w:p>
      <w:pPr>
        <w:spacing w:after="20"/>
        <w:ind w:left="340"/>
      </w:pPr>
      <w:r>
        <w:rPr>
          <w:b w:val="0"/>
        </w:rPr>
        <w:t>1. Esame del Rapporto di Internal Audit n. 07/2026 (prot. IA/REP/2026/007) e dei piani di rimedio</w:t>
      </w:r>
    </w:p>
    <w:p>
      <w:pPr>
        <w:spacing w:after="20"/>
        <w:ind w:left="340"/>
      </w:pPr>
      <w:r>
        <w:rPr>
          <w:b w:val="0"/>
        </w:rPr>
        <w:t>2. Stato di attuazione della Circolare Regolatoria AML n. 14/2026</w:t>
      </w:r>
    </w:p>
    <w:p>
      <w:pPr>
        <w:spacing w:after="20"/>
        <w:ind w:left="340"/>
      </w:pPr>
      <w:r>
        <w:rPr>
          <w:b w:val="0"/>
        </w:rPr>
        <w:t>3. Impatti economici delle azioni di rimedio (Report Finanziario Q2 2026)</w:t>
      </w:r>
    </w:p>
    <w:p>
      <w:pPr>
        <w:spacing w:after="20"/>
        <w:ind w:left="340"/>
      </w:pPr>
      <w:r>
        <w:rPr>
          <w:b w:val="0"/>
        </w:rPr>
        <w:t>4. Varie ed eventuali</w:t>
      </w:r>
    </w:p>
    <w:p>
      <w:pPr>
        <w:pStyle w:val="Heading1"/>
      </w:pPr>
      <w:r>
        <w:t>1. Esame dei rilievi di audit</w:t>
      </w:r>
    </w:p>
    <w:p>
      <w:pPr>
        <w:jc w:val="both"/>
      </w:pPr>
      <w:r>
        <w:rPr>
          <w:b w:val="0"/>
        </w:rPr>
        <w:t>Il Responsabile Internal Audit richiama il giudizio complessivo "Parzialmente adeguato" già illustrato al Consiglio del 15 luglio 2026. Il Comitato esamina ciascun rilievo con i responsabili del rimedio.</w:t>
      </w:r>
    </w:p>
    <w:p>
      <w:pPr>
        <w:jc w:val="both"/>
      </w:pPr>
      <w:r>
        <w:rPr>
          <w:b/>
        </w:rPr>
        <w:t>F-01 – Adeguata verifica rafforzata (Alto).</w:t>
      </w:r>
      <w:r>
        <w:rPr>
          <w:b w:val="0"/>
        </w:rPr>
        <w:t xml:space="preserve"> Il Compliance Officer riferisce che, dei 126 fascicoli di clientela ad alto rischio, 52 risultano aggiornati alla data odierna (41%). È stato attivato un supporto consulenziale esterno e confermata la scadenza del 31 agosto 2026. La Presidente Visconti esprime preoccupazione per il ritmo di avanzamento e chiede un aggiornamento quindicinale al Comitato.</w:t>
      </w:r>
    </w:p>
    <w:p>
      <w:pPr>
        <w:jc w:val="both"/>
      </w:pPr>
      <w:r>
        <w:rPr>
          <w:b/>
        </w:rPr>
        <w:t>F-02 – Reportistica ai clienti istituzionali (Alto).</w:t>
      </w:r>
      <w:r>
        <w:rPr>
          <w:b w:val="0"/>
        </w:rPr>
        <w:t xml:space="preserve"> Il Responsabile Risk &amp; Reporting illustra il progetto di cruscotto SLA e l'introduzione del controllo four-eyes a partire dal ciclo di reporting del terzo trimestre. Segnala che, a causa della migrazione alla nuova piattaforma, 3 degli 11 clienti istituzionali potrebbero ricevere il report del secondo trimestre oltre il termine contrattuale del 31 luglio. Il Comitato raccomanda di informare tempestivamente e in modo proattivo i clienti interessati.</w:t>
      </w:r>
    </w:p>
    <w:p>
      <w:pPr>
        <w:jc w:val="both"/>
      </w:pPr>
      <w:r>
        <w:rPr>
          <w:b/>
        </w:rPr>
        <w:t>F-03 – Gestione degli accessi (Medio).</w:t>
      </w:r>
      <w:r>
        <w:rPr>
          <w:b w:val="0"/>
        </w:rPr>
        <w:t xml:space="preserve"> Il Responsabile IT conferma la revoca, in data 28 luglio 2026, delle 23 utenze di personale cessato e la ricertificazione degli accessi privilegiati. Il rilievo è considerato chiuso, subordinatamente alla verifica dell'Internal Audit; l'automazione del de-provisioning sarà completata entro il 31 ottobre 2026.</w:t>
      </w:r>
    </w:p>
    <w:p>
      <w:pPr>
        <w:jc w:val="both"/>
      </w:pPr>
      <w:r>
        <w:rPr>
          <w:b/>
        </w:rPr>
        <w:t>F-04 – Registro dei trattamenti (Medio).</w:t>
      </w:r>
      <w:r>
        <w:rPr>
          <w:b w:val="0"/>
        </w:rPr>
        <w:t xml:space="preserve"> La DPO riferisce che la DPIA sul trattamento di profilazione della piattaforma DT Comply 2.0 sarà completata entro il 15 settembre 2026 e il Registro aggiornato entro il 30 settembre 2026.</w:t>
      </w:r>
    </w:p>
    <w:p>
      <w:pPr>
        <w:jc w:val="both"/>
      </w:pPr>
      <w:r>
        <w:rPr>
          <w:b/>
        </w:rPr>
        <w:t>F-05 – Formazione AML (Medio).</w:t>
      </w:r>
      <w:r>
        <w:rPr>
          <w:b w:val="0"/>
        </w:rPr>
        <w:t xml:space="preserve"> Al 31 luglio 2026 il tasso di completamento è salito al 72%. Il Compliance Officer conferma l'obiettivo del 100% entro il 30 settembre 2026.</w:t>
      </w:r>
    </w:p>
    <w:p>
      <w:pPr>
        <w:jc w:val="both"/>
      </w:pPr>
      <w:r>
        <w:rPr>
          <w:b/>
        </w:rPr>
        <w:t>F-06 – Gestione dei reclami (Basso).</w:t>
      </w:r>
      <w:r>
        <w:rPr>
          <w:b w:val="0"/>
        </w:rPr>
        <w:t xml:space="preserve"> Il Responsabile Risk &amp; Reporting conferma l'attivazione del registro reclami centralizzato entro il 31 ottobre 2026.</w:t>
      </w:r>
    </w:p>
    <w:p>
      <w:pPr>
        <w:pStyle w:val="Heading1"/>
      </w:pPr>
      <w:r>
        <w:t>2. Stato di attuazione della Circolare AML n. 14/2026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474"/>
        <w:gridCol w:w="3175"/>
      </w:tblGrid>
      <w:tr>
        <w:tc>
          <w:tcPr>
            <w:tcW w:type="dxa" w:w="476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Azione (Circolare CMP/CIRC/2026/014)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Scadenza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Stato al 03/08/2026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 Autovalutazione dei rischi 2026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30/06/2026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Completata il 26/06/2026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 Revisione procedure adeguata verifica rafforzata e titolare effettivo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31/07/2026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Completata; procedure approvate il 30/07/2026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 Aggiornamento fascicoli clientela ad alto rischio (126)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31/08/2026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corso – 52/126 (41%)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4. Adeguamento sistemi IT di profilatura e liste PEP/sanzioni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31/08/2026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corso – rilascio in collaudo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5. Formazione AML 100% del personale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corso – 72%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 Manuale Antiriciclaggio rev. 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31/10/2026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Bozza in preparazione</w:t>
            </w:r>
          </w:p>
        </w:tc>
      </w:tr>
    </w:tbl>
    <w:p>
      <w:pPr>
        <w:spacing w:after="40"/>
      </w:pPr>
    </w:p>
    <w:p>
      <w:pPr>
        <w:pStyle w:val="Heading1"/>
      </w:pPr>
      <w:r>
        <w:t>3. Impatti economici delle azioni di rimedio</w:t>
      </w:r>
    </w:p>
    <w:p>
      <w:pPr>
        <w:jc w:val="both"/>
      </w:pPr>
      <w:r>
        <w:rPr>
          <w:b w:val="0"/>
        </w:rPr>
        <w:t>La CFO illustra, sulla base del Report Finanziario Q2 2026 (prot. AFC/2026/031), che i costi per consulenze esterne del trimestre sono risultati superiori al budget di 0,28 milioni di euro, di cui 0,17 milioni riferibili al programma di adeguamento AML e 0,11 milioni al supporto alla reportistica della divisione Risk &amp; Reporting. L'EBITDA del trimestre si è attestato a 1,49 milioni di euro (margine 15,5%) contro 1,86 milioni a budget. Per il secondo semestre si stimano ulteriori costi di rimedio per circa 0,12 milioni di euro, già inclusi nella previsione di chiusura (EBITDA 2026 atteso: 6,96 milioni di euro).</w:t>
      </w:r>
    </w:p>
    <w:p>
      <w:pPr>
        <w:jc w:val="both"/>
      </w:pPr>
      <w:r>
        <w:rPr>
          <w:b w:val="0"/>
        </w:rPr>
        <w:t>Il consigliere Ferraris chiede che i costi di rimedio siano rendicontati separatamente nei prossimi report trimestrali. La CFO ne prende nota.</w:t>
      </w:r>
    </w:p>
    <w:p>
      <w:pPr>
        <w:pStyle w:val="Heading1"/>
      </w:pPr>
      <w:r>
        <w:t>4. Varie ed eventuali</w:t>
      </w:r>
    </w:p>
    <w:p>
      <w:pPr>
        <w:jc w:val="both"/>
      </w:pPr>
      <w:r>
        <w:rPr>
          <w:b w:val="0"/>
        </w:rPr>
        <w:t>Nessun ulteriore argomento. La riunione termina alle ore 17:05. La prossima riunione del Comitato è fissata per il 5 ottobre 2026.</w:t>
      </w:r>
    </w:p>
    <w:p>
      <w:pPr>
        <w:pStyle w:val="Heading1"/>
      </w:pPr>
      <w:r>
        <w:t>Azioni assegnate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5216"/>
        <w:gridCol w:w="1474"/>
        <w:gridCol w:w="1928"/>
      </w:tblGrid>
      <w:tr>
        <w:tc>
          <w:tcPr>
            <w:tcW w:type="dxa" w:w="79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21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Azione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Responsabile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Scadenza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A-01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Completare l'aggiornamento dei 126 fascicoli ad alto rischio (F-01) e inviare aggiornamento quindicinale al Comitato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A. Fontana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31/08/2026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A-02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Informare proattivamente i clienti istituzionali con report Q2 in ritardo; attivare cruscotto SLA e controllo four-eyes (F-02)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L. Marchetti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Immediata / 30/09/2026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A-03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Verifica di chiusura del rilievo F-03 sugli accessi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S. Galli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30/09/2026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A-04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Completare DPIA piattaforma DT Comply 2.0 e aggiornare il Registro dei trattamenti (F-04)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C. Moretti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15/09/2026 – 30/09/2026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A-05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Portare al 100% la formazione AML (F-05)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A. Fontana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30/09/2026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A-06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Rendicontare separatamente i costi di rimedio nei report trimestrali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E. Rinaldi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Report Q3 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A-07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Attivare il registro reclami centralizzato (F-06)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L. Marchetti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31/10/2026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La Presidente del Comitato: </w:t>
      </w:r>
      <w:r>
        <w:rPr>
          <w:b/>
        </w:rPr>
        <w:t>Laura Visconti</w:t>
      </w:r>
      <w:r>
        <w:rPr>
          <w:b w:val="0"/>
        </w:rPr>
        <w:t xml:space="preserve">                           Il Segretario: </w:t>
      </w:r>
      <w:r>
        <w:rPr>
          <w:b/>
        </w:rPr>
        <w:t>Valentina Russo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DataTrust Solutions S.p.A. – Via Alessandro Manzoni 42, 20121 Milano – C.F./P.IVA 09876540963</w:t>
    </w:r>
  </w:p>
  <w:p>
    <w:r>
      <w:rPr>
        <w:sz w:val="15"/>
      </w:rPr>
      <w:t xml:space="preserve">Verbale CRC n. 4/2026 – Prot. CRC/2026/04 – Pagina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di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20"/>
      </w:rPr>
      <w:t>DataTrust Solutions S.p.A.</w:t>
    </w:r>
    <w:r>
      <w:rPr>
        <w:sz w:val="17"/>
      </w:rPr>
      <w:tab/>
      <w:tab/>
      <w:t>Comitato Rischi e Controlli</w:t>
    </w:r>
  </w:p>
  <w:p>
    <w:pPr>
      <w:jc w:val="right"/>
    </w:pPr>
    <w:r>
      <w:rPr>
        <w:b/>
        <w:color w:val="B3261E"/>
        <w:sz w:val="17"/>
      </w:rPr>
      <w:t>RISERVATO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 del Comitato Rischi e Controlli del 3 agosto 2026</dc:title>
  <dc:subject>Compliance</dc:subject>
  <dc:creator>Valentina Russo</dc:creator>
  <cp:keywords>Comitato Rischi e Controlli, audit, rilievi, AML, azioni correttive</cp:keywords>
  <dc:description>generated by python-docx</dc:description>
  <cp:lastModifiedBy/>
  <cp:revision>1</cp:revision>
  <dcterms:created xsi:type="dcterms:W3CDTF">2026-08-05T09:00:00Z</dcterms:created>
  <dcterms:modified xsi:type="dcterms:W3CDTF">2013-12-23T23:15:00Z</dcterms:modified>
  <cp:category>Compliance</cp:category>
</cp:coreProperties>
</file>