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line="276"/>
        <w:jc w:val="center"/>
      </w:pPr>
      <w:r>
        <w:rPr>
          <w:rFonts w:ascii="Times New Roman" w:cs="Times New Roman" w:eastAsia="Times New Roman" w:hAnsi="Times New Roman"/>
          <w:i/>
          <w:iCs/>
          <w:color w:val="595959"/>
          <w:sz w:val="24"/>
          <w:szCs w:val="24"/>
        </w:rPr>
        <w:t xml:space="preserve">Confronto competitivo — Accordo Quadro</w:t>
      </w:r>
    </w:p>
    <w:p>
      <w:pPr>
        <w:spacing w:after="480" w:before="0" w:line="276"/>
        <w:jc w:val="center"/>
      </w:pPr>
      <w:r>
        <w:rPr>
          <w:rFonts w:ascii="Times New Roman" w:cs="Times New Roman" w:eastAsia="Times New Roman" w:hAnsi="Times New Roman"/>
          <w:i/>
          <w:iCs/>
          <w:color w:val="595959"/>
          <w:sz w:val="22"/>
          <w:szCs w:val="22"/>
        </w:rPr>
        <w:t xml:space="preserve">Servizi di supporto specialistico per l'esecuzione e il monitoraggio delle verifiche tecniche dell'accessibilità dei canali digitali, dei servizi e dei prodotti del Gruppo Poste Italiane</w:t>
      </w:r>
    </w:p>
    <w:p>
      <w:pPr>
        <w:spacing w:after="200" w:before="0" w:line="276"/>
        <w:jc w:val="center"/>
      </w:pPr>
      <w:r>
        <w:rPr>
          <w:rFonts w:ascii="Times New Roman" w:cs="Times New Roman" w:eastAsia="Times New Roman" w:hAnsi="Times New Roman"/>
          <w:b/>
          <w:bCs/>
          <w:color w:val="1F3864"/>
          <w:sz w:val="36"/>
          <w:szCs w:val="36"/>
        </w:rPr>
        <w:t xml:space="preserve">SCHEDA ORGANIZZAZIONE DELL'IMPRESA</w:t>
      </w:r>
    </w:p>
    <w:p>
      <w:pPr>
        <w:spacing w:after="200" w:before="0" w:line="276"/>
        <w:jc w:val="center"/>
      </w:pPr>
      <w:r>
        <w:rPr>
          <w:rFonts w:ascii="Times New Roman" w:cs="Times New Roman" w:eastAsia="Times New Roman" w:hAnsi="Times New Roman"/>
          <w:b/>
          <w:bCs/>
          <w:color w:val="C00000"/>
          <w:sz w:val="24"/>
          <w:szCs w:val="24"/>
        </w:rPr>
        <w:t xml:space="preserve">Requisito VA_REQ_57 — Organizzazione, flessibilità ed efficacia organizzativa</w:t>
      </w:r>
    </w:p>
    <w:p>
      <w:pPr>
        <w:spacing w:after="200" w:before="0" w:line="276"/>
        <w:jc w:val="center"/>
      </w:pPr>
      <w:r>
        <w:rPr>
          <w:rFonts w:ascii="Times New Roman" w:cs="Times New Roman" w:eastAsia="Times New Roman" w:hAnsi="Times New Roman"/>
          <w:color w:val="C00000"/>
          <w:sz w:val="22"/>
          <w:szCs w:val="22"/>
        </w:rPr>
        <w:t xml:space="preserve">(paragrafo 4.3 dell'Allegato 1)</w:t>
      </w:r>
    </w:p>
    <w:p>
      <w:pPr>
        <w:spacing w:after="0" w:before="200" w:line="276"/>
        <w:jc w:val="center"/>
      </w:pPr>
      <w:r>
        <w:rPr>
          <w:rFonts w:ascii="Times New Roman" w:cs="Times New Roman" w:eastAsia="Times New Roman" w:hAnsi="Times New Roman"/>
          <w:i/>
          <w:iCs/>
          <w:color w:val="595959"/>
          <w:sz w:val="22"/>
          <w:szCs w:val="22"/>
        </w:rPr>
        <w:t xml:space="preserve">Documento redatto secondo il Modello di riferimento – Allegato 2</w:t>
      </w:r>
    </w:p>
    <w:p>
      <w:r>
        <w:br w:type="page"/>
      </w:r>
    </w:p>
    <w:p>
      <w:pPr>
        <w:sectPr>
          <w:pgSz w:w="11906" w:h="16838" w:orient="portrait"/>
          <w:pgMar w:top="1134" w:right="1134" w:bottom="1134" w:left="1134" w:header="708" w:footer="708" w:gutter="0"/>
          <w:pgNumType/>
          <w:docGrid w:linePitch="360"/>
        </w:sectPr>
      </w:pPr>
    </w:p>
    <w:p>
      <w:pPr>
        <w:spacing w:after="200" w:before="0" w:line="276"/>
        <w:jc w:val="left"/>
      </w:pPr>
      <w:r>
        <w:rPr>
          <w:rFonts w:ascii="Times New Roman" w:cs="Times New Roman" w:eastAsia="Times New Roman" w:hAnsi="Times New Roman"/>
          <w:b/>
          <w:bCs/>
          <w:color w:val="1F3864"/>
          <w:sz w:val="32"/>
          <w:szCs w:val="32"/>
        </w:rPr>
        <w:t xml:space="preserve">Indice</w:t>
      </w:r>
    </w:p>
    <w:p>
      <w:pPr>
        <w:spacing w:after="60" w:before="0" w:line="276"/>
      </w:pPr>
      <w:r>
        <w:rPr>
          <w:rFonts w:ascii="Times New Roman" w:cs="Times New Roman" w:eastAsia="Times New Roman" w:hAnsi="Times New Roman"/>
          <w:sz w:val="24"/>
          <w:szCs w:val="24"/>
        </w:rPr>
        <w:t xml:space="preserve">a) Organizzazione e modalità di coordinamento delle risorse impiegate (figure professionali e profili)</w:t>
      </w:r>
    </w:p>
    <w:p>
      <w:pPr>
        <w:spacing w:after="60" w:before="0" w:line="276"/>
      </w:pPr>
      <w:r>
        <w:rPr>
          <w:rFonts w:ascii="Times New Roman" w:cs="Times New Roman" w:eastAsia="Times New Roman" w:hAnsi="Times New Roman"/>
          <w:sz w:val="24"/>
          <w:szCs w:val="24"/>
        </w:rPr>
        <w:t xml:space="preserve">b) Organizzazione adottata per le attività di governo e di qualità della fornitura</w:t>
      </w:r>
    </w:p>
    <w:p>
      <w:pPr>
        <w:spacing w:after="60" w:before="0" w:line="276"/>
      </w:pPr>
      <w:r>
        <w:rPr>
          <w:rFonts w:ascii="Times New Roman" w:cs="Times New Roman" w:eastAsia="Times New Roman" w:hAnsi="Times New Roman"/>
          <w:sz w:val="24"/>
          <w:szCs w:val="24"/>
        </w:rPr>
        <w:t xml:space="preserve">c) Distribuzione delle attività e delle responsabilità operative e coordinamento con i diversi attori / funzioni interni al Gruppo Poste Italiane</w:t>
      </w:r>
    </w:p>
    <w:p>
      <w:pPr>
        <w:spacing w:after="60" w:before="0" w:line="276"/>
      </w:pPr>
      <w:r>
        <w:rPr>
          <w:rFonts w:ascii="Times New Roman" w:cs="Times New Roman" w:eastAsia="Times New Roman" w:hAnsi="Times New Roman"/>
          <w:sz w:val="24"/>
          <w:szCs w:val="24"/>
        </w:rPr>
        <w:t xml:space="preserve">d) Accordi e sinergie con enti terzi (associazioni, università, comitati scientifici, community)</w:t>
      </w:r>
    </w:p>
    <w:p>
      <w:pPr>
        <w:spacing w:after="60" w:before="0" w:line="276"/>
      </w:pPr>
      <w:r>
        <w:rPr>
          <w:rFonts w:ascii="Times New Roman" w:cs="Times New Roman" w:eastAsia="Times New Roman" w:hAnsi="Times New Roman"/>
          <w:sz w:val="24"/>
          <w:szCs w:val="24"/>
        </w:rPr>
        <w:t xml:space="preserve">e) Soluzione metodologica, organizzativa ed operativa per la flessibilità del servizio</w:t>
      </w:r>
    </w:p>
    <w:p>
      <w:r>
        <w:br w:type="page"/>
      </w:r>
    </w:p>
    <w:p>
      <w:pPr>
        <w:sectPr>
          <w:type w:val="nextPage"/>
          <w:pgSz w:w="11906" w:h="16838" w:orient="portrait"/>
          <w:pgMar w:top="1134" w:right="1134" w:bottom="1134" w:left="1134" w:header="708" w:footer="708" w:gutter="0"/>
          <w:pgNumType/>
          <w:docGrid w:linePitch="360"/>
        </w:sectPr>
      </w:pPr>
    </w:p>
    <w:p>
      <w:pPr>
        <w:pStyle w:val="Heading1"/>
        <w:spacing w:after="40" w:before="80" w:line="276"/>
      </w:pPr>
      <w:r>
        <w:rPr>
          <w:rFonts w:ascii="Times New Roman" w:cs="Times New Roman" w:eastAsia="Times New Roman" w:hAnsi="Times New Roman"/>
          <w:b/>
          <w:bCs/>
          <w:color w:val="1F3864"/>
          <w:sz w:val="26"/>
          <w:szCs w:val="26"/>
        </w:rPr>
        <w:t xml:space="preserve">a) Organizzazione e modalità di coordinamento delle risorse impiegate</w:t>
      </w:r>
    </w:p>
    <w:p>
      <w:pPr>
        <w:spacing w:after="40" w:before="0" w:line="276"/>
        <w:jc w:val="both"/>
      </w:pPr>
      <w:r>
        <w:rPr>
          <w:rFonts w:ascii="Times New Roman" w:cs="Times New Roman" w:eastAsia="Times New Roman" w:hAnsi="Times New Roman"/>
          <w:b/>
          <w:bCs/>
          <w:sz w:val="24"/>
          <w:szCs w:val="24"/>
        </w:rPr>
        <w:t xml:space="preserve">Premessa. </w:t>
      </w:r>
      <w:r>
        <w:rPr>
          <w:rFonts w:ascii="Times New Roman" w:cs="Times New Roman" w:eastAsia="Times New Roman" w:hAnsi="Times New Roman"/>
          <w:sz w:val="24"/>
          <w:szCs w:val="24"/>
        </w:rPr>
        <w:t xml:space="preserve">Il modello organizzativo è progettato sui sei Type-of-Work del Capitolato (TOW 1–6) e sui volumi attesi (244 TOW1, 370 TOW2, 46 TOW3, 25 TOW4, 30 TOW5, 275 TOW6). Si fonda su un Centro di Competenza Accessibilità dedicato, su un Test Management Office (TMO) di contratto e su un'unica governance lato Cliente. La trattazione segue, paragrafo per paragrafo, i sotto-requisiti (a)–(e).</w:t>
      </w:r>
    </w:p>
    <w:p>
      <w:pPr>
        <w:spacing w:after="40" w:before="0" w:line="276"/>
        <w:jc w:val="both"/>
      </w:pPr>
      <w:r>
        <w:rPr>
          <w:rFonts w:ascii="Times New Roman" w:cs="Times New Roman" w:eastAsia="Times New Roman" w:hAnsi="Times New Roman"/>
          <w:b/>
          <w:bCs/>
          <w:sz w:val="24"/>
          <w:szCs w:val="24"/>
        </w:rPr>
        <w:t xml:space="preserve">Figure professionali e profili. </w:t>
      </w:r>
      <w:r>
        <w:rPr>
          <w:rFonts w:ascii="Times New Roman" w:cs="Times New Roman" w:eastAsia="Times New Roman" w:hAnsi="Times New Roman"/>
          <w:sz w:val="24"/>
          <w:szCs w:val="24"/>
        </w:rPr>
        <w:t xml:space="preserve">Il team è composto da profili certificati EN 301549/WCAG, ISTQB e IAAP, organizzati su otto famiglie professionali. Ogni ruolo ha JD formalizzata, percorso di carriera e piano di certificazione gestito dal Centro di Competenza Accessibilità.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00"/>
        <w:gridCol w:w="2460"/>
      </w:tblGrid>
      <w:tr>
        <w:trPr>
          <w:tblHeader/>
        </w:trPr>
        <w:tc>
          <w:tcPr>
            <w:tcW w:type="dxa" w:w="280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Famiglia / Ruolo</w:t>
            </w:r>
          </w:p>
        </w:tc>
        <w:tc>
          <w:tcPr>
            <w:tcW w:type="dxa" w:w="410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Responsabilità chiave</w:t>
            </w:r>
          </w:p>
        </w:tc>
        <w:tc>
          <w:tcPr>
            <w:tcW w:type="dxa" w:w="246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Certificazioni di riferimento</w:t>
            </w:r>
          </w:p>
        </w:tc>
      </w:tr>
      <w:tr>
        <w:tc>
          <w:tcPr>
            <w:tcW w:type="dxa" w:w="28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Service Manager / Account Director</w:t>
            </w:r>
          </w:p>
        </w:tc>
        <w:tc>
          <w:tcPr>
            <w:tcW w:type="dxa" w:w="41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Interfaccia unica con Poste; governance contrattuale; SLA; escalation</w:t>
            </w:r>
          </w:p>
        </w:tc>
        <w:tc>
          <w:tcPr>
            <w:tcW w:type="dxa" w:w="24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PMP / Prince2; ITIL 4</w:t>
            </w:r>
          </w:p>
        </w:tc>
      </w:tr>
      <w:tr>
        <w:tc>
          <w:tcPr>
            <w:tcW w:type="dxa" w:w="28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Project Manager / TMO Lead</w:t>
            </w:r>
          </w:p>
        </w:tc>
        <w:tc>
          <w:tcPr>
            <w:tcW w:type="dxa" w:w="41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Pianificazione, capacity, rischi, stime, reporting tattico-direzionale</w:t>
            </w:r>
          </w:p>
        </w:tc>
        <w:tc>
          <w:tcPr>
            <w:tcW w:type="dxa" w:w="24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PMP; ISTQB Test Mgr</w:t>
            </w:r>
          </w:p>
        </w:tc>
      </w:tr>
      <w:tr>
        <w:tc>
          <w:tcPr>
            <w:tcW w:type="dxa" w:w="28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Test Manager</w:t>
            </w:r>
          </w:p>
        </w:tc>
        <w:tc>
          <w:tcPr>
            <w:tcW w:type="dxa" w:w="41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Strategia di test per TOW; qualità deliverable; coordinamento tester</w:t>
            </w:r>
          </w:p>
        </w:tc>
        <w:tc>
          <w:tcPr>
            <w:tcW w:type="dxa" w:w="24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ISTQB CTAL-TM / CTEL-TM</w:t>
            </w:r>
          </w:p>
        </w:tc>
      </w:tr>
      <w:tr>
        <w:tc>
          <w:tcPr>
            <w:tcW w:type="dxa" w:w="28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Accessibility Architect</w:t>
            </w:r>
          </w:p>
        </w:tc>
        <w:tc>
          <w:tcPr>
            <w:tcW w:type="dxa" w:w="41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Disegno dell'approccio per touchpoint; integrazione AIDA; design system</w:t>
            </w:r>
          </w:p>
        </w:tc>
        <w:tc>
          <w:tcPr>
            <w:tcW w:type="dxa" w:w="24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IAAP CPWA / WAS</w:t>
            </w:r>
          </w:p>
        </w:tc>
      </w:tr>
      <w:tr>
        <w:tc>
          <w:tcPr>
            <w:tcW w:type="dxa" w:w="28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Accessibility Specialist (Sr/Jr)</w:t>
            </w:r>
          </w:p>
        </w:tc>
        <w:tc>
          <w:tcPr>
            <w:tcW w:type="dxa" w:w="41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Esecuzione verifiche tecniche EN 301549/WCAG; redazione Dichiarazioni</w:t>
            </w:r>
          </w:p>
        </w:tc>
        <w:tc>
          <w:tcPr>
            <w:tcW w:type="dxa" w:w="24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IAAP CPACC / WAS</w:t>
            </w:r>
          </w:p>
        </w:tc>
      </w:tr>
      <w:tr>
        <w:tc>
          <w:tcPr>
            <w:tcW w:type="dxa" w:w="28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Test Engineer (manuale e automatore)</w:t>
            </w:r>
          </w:p>
        </w:tc>
        <w:tc>
          <w:tcPr>
            <w:tcW w:type="dxa" w:w="41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Esecuzione test, automazione, regression, integrazione CI/CD per TOW 6</w:t>
            </w:r>
          </w:p>
        </w:tc>
        <w:tc>
          <w:tcPr>
            <w:tcW w:type="dxa" w:w="24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ISTQB CTAL-TA</w:t>
            </w:r>
          </w:p>
        </w:tc>
      </w:tr>
      <w:tr>
        <w:tc>
          <w:tcPr>
            <w:tcW w:type="dxa" w:w="28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AT Specialist</w:t>
            </w:r>
          </w:p>
        </w:tc>
        <w:tc>
          <w:tcPr>
            <w:tcW w:type="dxa" w:w="41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Test soggettivi con JAWS/NVDA/VoiceOver/TalkBack/Dragon</w:t>
            </w:r>
          </w:p>
        </w:tc>
        <w:tc>
          <w:tcPr>
            <w:tcW w:type="dxa" w:w="24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IAAP CPACC + training AT</w:t>
            </w:r>
          </w:p>
        </w:tc>
      </w:tr>
      <w:tr>
        <w:tc>
          <w:tcPr>
            <w:tcW w:type="dxa" w:w="28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AI/Data Engineer (AIDA)</w:t>
            </w:r>
          </w:p>
        </w:tc>
        <w:tc>
          <w:tcPr>
            <w:tcW w:type="dxa" w:w="41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Esercizio e calibrazione dei modelli, integrazione API, data pipeline</w:t>
            </w:r>
          </w:p>
        </w:tc>
        <w:tc>
          <w:tcPr>
            <w:tcW w:type="dxa" w:w="24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Cloud + ML certifications</w:t>
            </w:r>
          </w:p>
        </w:tc>
      </w:tr>
      <w:tr>
        <w:tc>
          <w:tcPr>
            <w:tcW w:type="dxa" w:w="28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UX Researcher / Disability Champion</w:t>
            </w:r>
          </w:p>
        </w:tc>
        <w:tc>
          <w:tcPr>
            <w:tcW w:type="dxa" w:w="41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Ricerca con utenti reali, panel disabilità, raccolta insight CX</w:t>
            </w:r>
          </w:p>
        </w:tc>
        <w:tc>
          <w:tcPr>
            <w:tcW w:type="dxa" w:w="24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IAAP CPACC; HCI background</w:t>
            </w:r>
          </w:p>
        </w:tc>
      </w:tr>
    </w:tbl>
    <w:p>
      <w:pPr>
        <w:spacing w:after="40" w:before="0" w:line="276"/>
        <w:jc w:val="both"/>
      </w:pPr>
      <w:r>
        <w:rPr>
          <w:rFonts w:ascii="Times New Roman" w:cs="Times New Roman" w:eastAsia="Times New Roman" w:hAnsi="Times New Roman"/>
          <w:b/>
          <w:bCs/>
          <w:sz w:val="24"/>
          <w:szCs w:val="24"/>
        </w:rPr>
        <w:t xml:space="preserve">Modalità di coordinamento. </w:t>
      </w:r>
      <w:r>
        <w:rPr>
          <w:rFonts w:ascii="Times New Roman" w:cs="Times New Roman" w:eastAsia="Times New Roman" w:hAnsi="Times New Roman"/>
          <w:sz w:val="24"/>
          <w:szCs w:val="24"/>
        </w:rPr>
        <w:t xml:space="preserve">Il coordinamento è multi-livello e con cadenze fisse: daily stand-up operativo per iniziativa, weekly tattico per Work Package, bi-weekly direzionale di TOW, monthly di contratto, trimestrale di Steering Committee con sponsor Poste. Il TMO presidia capacity planning a 4–8 settimane, allocazione, escalation e qualità trasversale; il Service Manager è punto di contatto unico per il Cliente. Tutto il coordinamento è strumentato sulla piattaforma di Test Management con tracciamento automatico di iniziative, deliverable, KPI e rischi.</w:t>
      </w:r>
    </w:p>
    <w:p>
      <w:pPr>
        <w:pStyle w:val="Heading1"/>
        <w:spacing w:after="40" w:before="80" w:line="276"/>
      </w:pPr>
      <w:r>
        <w:rPr>
          <w:rFonts w:ascii="Times New Roman" w:cs="Times New Roman" w:eastAsia="Times New Roman" w:hAnsi="Times New Roman"/>
          <w:b/>
          <w:bCs/>
          <w:color w:val="1F3864"/>
          <w:sz w:val="26"/>
          <w:szCs w:val="26"/>
        </w:rPr>
        <w:t xml:space="preserve">b) Organizzazione per il governo e la qualità della fornitura</w:t>
      </w:r>
    </w:p>
    <w:p>
      <w:pPr>
        <w:spacing w:after="40" w:before="0" w:line="276"/>
        <w:jc w:val="both"/>
      </w:pPr>
      <w:r>
        <w:rPr>
          <w:rFonts w:ascii="Times New Roman" w:cs="Times New Roman" w:eastAsia="Times New Roman" w:hAnsi="Times New Roman"/>
          <w:b/>
          <w:bCs/>
          <w:sz w:val="24"/>
          <w:szCs w:val="24"/>
        </w:rPr>
        <w:t xml:space="preserve">Modello di governance multi-livello. </w:t>
      </w:r>
      <w:r>
        <w:rPr>
          <w:rFonts w:ascii="Times New Roman" w:cs="Times New Roman" w:eastAsia="Times New Roman" w:hAnsi="Times New Roman"/>
          <w:sz w:val="24"/>
          <w:szCs w:val="24"/>
        </w:rPr>
        <w:t xml:space="preserve">La governance è strutturata su quattro livelli con responsabilità, cadenze e deliverable chiari: (i) Operativo — TMO + team di iniziativa, gestione giornaliera, defect management, tracking KPI; (ii) Tattico — Service Manager + PM cliente, gestione Work Package, scostamenti, rischi top, comunicazione; (iii) Direzionale — Account Director + Direzione D&amp;E Poste, performance complessiva, capacity planning, miglioramento continuo; (iv) Strategico — Steering Committee bi-trimestrale con sponsor, piano evolutivo, innovazione, partnership.</w:t>
      </w:r>
    </w:p>
    <w:p>
      <w:pPr>
        <w:spacing w:after="40" w:before="0" w:line="276"/>
        <w:jc w:val="both"/>
      </w:pPr>
      <w:r>
        <w:rPr>
          <w:rFonts w:ascii="Times New Roman" w:cs="Times New Roman" w:eastAsia="Times New Roman" w:hAnsi="Times New Roman"/>
          <w:b/>
          <w:bCs/>
          <w:sz w:val="24"/>
          <w:szCs w:val="24"/>
        </w:rPr>
        <w:t xml:space="preserve">Sistema qualità. </w:t>
      </w:r>
      <w:r>
        <w:rPr>
          <w:rFonts w:ascii="Times New Roman" w:cs="Times New Roman" w:eastAsia="Times New Roman" w:hAnsi="Times New Roman"/>
          <w:sz w:val="24"/>
          <w:szCs w:val="24"/>
        </w:rPr>
        <w:t xml:space="preserve">L'impianto di qualità è basato su ISO 9001:2015 (certificazione aziendale), ISO/IEC 27001 per la sicurezza delle informazioni, ISO/IEC 25010 per la qualità del software e ISO/IEC 17024 per le competenze certificate. Sono implementati: piano di audit interno trimestrale, peer review obbligatoria su tutti i deliverable critici (Dichiarazioni di Accessibilità, verbali, schede), gate di qualità per TOW (Definition of Ready / Done con criteri oggettivi), Customer Satisfaction Index trimestrale, processo di Continuous Improvement con cadenza retrospective bi-mensile e backlog di miglioramento condiviso con Poste.</w:t>
      </w:r>
    </w:p>
    <w:p>
      <w:pPr>
        <w:spacing w:after="40" w:before="0" w:line="276"/>
        <w:jc w:val="both"/>
      </w:pPr>
      <w:r>
        <w:rPr>
          <w:rFonts w:ascii="Times New Roman" w:cs="Times New Roman" w:eastAsia="Times New Roman" w:hAnsi="Times New Roman"/>
          <w:b/>
          <w:bCs/>
          <w:sz w:val="24"/>
          <w:szCs w:val="24"/>
        </w:rPr>
        <w:t xml:space="preserve">KPI di governo. </w:t>
      </w:r>
      <w:r>
        <w:rPr>
          <w:rFonts w:ascii="Times New Roman" w:cs="Times New Roman" w:eastAsia="Times New Roman" w:hAnsi="Times New Roman"/>
          <w:sz w:val="24"/>
          <w:szCs w:val="24"/>
        </w:rPr>
        <w:t xml:space="preserve">Gli SLA contrattuali e i KPI di processo (puntualità, qualità, accuratezza, NPS) sono misurati automaticamente dalla piattaforma di Test Management e dalla Accessibility Control Tower BI; i risultati sono pubblicati in dashboard live a Poste con drill-down dal portafoglio al singolo finding. Eventuali scostamenti attivano automaticamente il processo di Issue Management con escalation tracciata al TMO, all'Account Director e — per soglie critiche — allo Steering Committee.</w:t>
      </w:r>
    </w:p>
    <w:p>
      <w:pPr>
        <w:pStyle w:val="Heading1"/>
        <w:spacing w:after="40" w:before="80" w:line="276"/>
      </w:pPr>
      <w:r>
        <w:rPr>
          <w:rFonts w:ascii="Times New Roman" w:cs="Times New Roman" w:eastAsia="Times New Roman" w:hAnsi="Times New Roman"/>
          <w:b/>
          <w:bCs/>
          <w:color w:val="1F3864"/>
          <w:sz w:val="26"/>
          <w:szCs w:val="26"/>
        </w:rPr>
        <w:t xml:space="preserve">c) Distribuzione attività e responsabilità, coordinamento con le funzioni del Gruppo Poste</w:t>
      </w:r>
    </w:p>
    <w:p>
      <w:pPr>
        <w:spacing w:after="40" w:before="0" w:line="276"/>
        <w:jc w:val="both"/>
      </w:pPr>
      <w:r>
        <w:rPr>
          <w:rFonts w:ascii="Times New Roman" w:cs="Times New Roman" w:eastAsia="Times New Roman" w:hAnsi="Times New Roman"/>
          <w:b/>
          <w:bCs/>
          <w:sz w:val="24"/>
          <w:szCs w:val="24"/>
        </w:rPr>
        <w:t xml:space="preserve">Matrice RACI estesa. </w:t>
      </w:r>
      <w:r>
        <w:rPr>
          <w:rFonts w:ascii="Times New Roman" w:cs="Times New Roman" w:eastAsia="Times New Roman" w:hAnsi="Times New Roman"/>
          <w:sz w:val="24"/>
          <w:szCs w:val="24"/>
        </w:rPr>
        <w:t xml:space="preserve">Per ciascuna attività dei TOW è definita una matrice RACI di contratto che mappa Responsibility, Accountability, Consulted, Informed sui ruoli interni all'Impresa e sulle funzioni del Gruppo Poste (Digital&amp;Experience/Ascolto Cliente, IT/Tech, Compliance, Legal, Customer Care, Procurement, Sicurezza, Privacy, Comunicazione, oltre alle Società del Gruppo — SdG).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Attività / Deliverable</w:t>
            </w:r>
          </w:p>
        </w:tc>
        <w:tc>
          <w:tcPr>
            <w:tcW w:type="dxa" w:w="350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Impresa (R / A)</w:t>
            </w:r>
          </w:p>
        </w:tc>
        <w:tc>
          <w:tcPr>
            <w:tcW w:type="dxa" w:w="286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Funzioni Poste (C / I)</w:t>
            </w:r>
          </w:p>
        </w:tc>
      </w:tr>
      <w:tr>
        <w:tc>
          <w:tcPr>
            <w:tcW w:type="dxa" w:w="30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Verifica tecnica TOW 1 e Dichiarazione di Accessibilità</w:t>
            </w:r>
          </w:p>
        </w:tc>
        <w:tc>
          <w:tcPr>
            <w:tcW w:type="dxa" w:w="35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Accessibility Specialist (R) – Test Manager (A)</w:t>
            </w:r>
          </w:p>
        </w:tc>
        <w:tc>
          <w:tcPr>
            <w:tcW w:type="dxa" w:w="28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D&amp;E (A interna), IT (C), Compliance (I)</w:t>
            </w:r>
          </w:p>
        </w:tc>
      </w:tr>
      <w:tr>
        <w:tc>
          <w:tcPr>
            <w:tcW w:type="dxa" w:w="30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Test pre-rilascio TOW 6 e gating</w:t>
            </w:r>
          </w:p>
        </w:tc>
        <w:tc>
          <w:tcPr>
            <w:tcW w:type="dxa" w:w="35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Test Engineer (R) – Test Manager (A)</w:t>
            </w:r>
          </w:p>
        </w:tc>
        <w:tc>
          <w:tcPr>
            <w:tcW w:type="dxa" w:w="28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IT (A interna), DevOps (C), Release Manager (C)</w:t>
            </w:r>
          </w:p>
        </w:tc>
      </w:tr>
      <w:tr>
        <w:tc>
          <w:tcPr>
            <w:tcW w:type="dxa" w:w="30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Setup e gestione TOW 4 (monitoraggio)</w:t>
            </w:r>
          </w:p>
        </w:tc>
        <w:tc>
          <w:tcPr>
            <w:tcW w:type="dxa" w:w="35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Accessibility Architect (R) – PM (A)</w:t>
            </w:r>
          </w:p>
        </w:tc>
        <w:tc>
          <w:tcPr>
            <w:tcW w:type="dxa" w:w="28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IT (C), Sicurezza (C), Privacy (C)</w:t>
            </w:r>
          </w:p>
        </w:tc>
      </w:tr>
      <w:tr>
        <w:tc>
          <w:tcPr>
            <w:tcW w:type="dxa" w:w="30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Coordinamento gestionale TOW 5</w:t>
            </w:r>
          </w:p>
        </w:tc>
        <w:tc>
          <w:tcPr>
            <w:tcW w:type="dxa" w:w="35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Service Manager (R) – Account Director (A)</w:t>
            </w:r>
          </w:p>
        </w:tc>
        <w:tc>
          <w:tcPr>
            <w:tcW w:type="dxa" w:w="28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D&amp;E (A), SdG (C), Compliance (I)</w:t>
            </w:r>
          </w:p>
        </w:tc>
      </w:tr>
      <w:tr>
        <w:tc>
          <w:tcPr>
            <w:tcW w:type="dxa" w:w="30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Knowledge Base e Lessons Learned</w:t>
            </w:r>
          </w:p>
        </w:tc>
        <w:tc>
          <w:tcPr>
            <w:tcW w:type="dxa" w:w="35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TMO (R) – Service Manager (A)</w:t>
            </w:r>
          </w:p>
        </w:tc>
        <w:tc>
          <w:tcPr>
            <w:tcW w:type="dxa" w:w="28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D&amp;E (C), Disability Champion network (I)</w:t>
            </w:r>
          </w:p>
        </w:tc>
      </w:tr>
    </w:tbl>
    <w:p>
      <w:pPr>
        <w:spacing w:after="40" w:before="0" w:line="276"/>
        <w:jc w:val="both"/>
      </w:pPr>
      <w:r>
        <w:rPr>
          <w:rFonts w:ascii="Times New Roman" w:cs="Times New Roman" w:eastAsia="Times New Roman" w:hAnsi="Times New Roman"/>
          <w:b/>
          <w:bCs/>
          <w:sz w:val="24"/>
          <w:szCs w:val="24"/>
        </w:rPr>
        <w:t xml:space="preserve">Onboarding e canali di interazione. </w:t>
      </w:r>
      <w:r>
        <w:rPr>
          <w:rFonts w:ascii="Times New Roman" w:cs="Times New Roman" w:eastAsia="Times New Roman" w:hAnsi="Times New Roman"/>
          <w:sz w:val="24"/>
          <w:szCs w:val="24"/>
        </w:rPr>
        <w:t xml:space="preserve">Per ogni nuova iniziativa è previsto un onboarding strutturato: kick-off con stakeholder, raccolta precondizioni, allocazione team, set-up degli ambienti e configurazione AIDA. I canali di interazione con Poste sono: ticketing centralizzato per richieste e segnalazioni, repository documentale condiviso, dashboard di reporting, sessioni di allineamento con cadenza definita per livello, hotline di Service Manager per urgenze. Ogni interazione è tracciata in audit log.</w:t>
      </w:r>
    </w:p>
    <w:p>
      <w:pPr>
        <w:pStyle w:val="Heading1"/>
        <w:spacing w:after="40" w:before="80" w:line="276"/>
      </w:pPr>
      <w:r>
        <w:rPr>
          <w:rFonts w:ascii="Times New Roman" w:cs="Times New Roman" w:eastAsia="Times New Roman" w:hAnsi="Times New Roman"/>
          <w:b/>
          <w:bCs/>
          <w:color w:val="1F3864"/>
          <w:sz w:val="26"/>
          <w:szCs w:val="26"/>
        </w:rPr>
        <w:t xml:space="preserve">d) Accordi e sinergie con enti terzi</w:t>
      </w:r>
    </w:p>
    <w:p>
      <w:pPr>
        <w:spacing w:after="40" w:before="0" w:line="276"/>
        <w:jc w:val="both"/>
      </w:pPr>
      <w:r>
        <w:rPr>
          <w:rFonts w:ascii="Times New Roman" w:cs="Times New Roman" w:eastAsia="Times New Roman" w:hAnsi="Times New Roman"/>
          <w:b/>
          <w:bCs/>
          <w:sz w:val="24"/>
          <w:szCs w:val="24"/>
        </w:rPr>
        <w:t xml:space="preserve">Ecosistema strutturato. </w:t>
      </w:r>
      <w:r>
        <w:rPr>
          <w:rFonts w:ascii="Times New Roman" w:cs="Times New Roman" w:eastAsia="Times New Roman" w:hAnsi="Times New Roman"/>
          <w:sz w:val="24"/>
          <w:szCs w:val="24"/>
        </w:rPr>
        <w:t xml:space="preserve">L'efficacia del servizio è amplificata da un ecosistema di partnership consolidate, articolato su quattro categorie: associazioni di rappresentanza delle persone con disabilità, mondo accademico e ricerca, comitati e organismi tecnico-normativi, community professionali. L'ecosistema è governato da un Comitato Scientifico interno, presieduto da un Accessibility Director e composto da accademici, professionisti certificati IAAP e referenti delle associazioni. Si riunisce trimestralmente e produce indirizzi operativi sull'evoluzione metodologica e tecnologica.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Categoria</w:t>
            </w:r>
          </w:p>
        </w:tc>
        <w:tc>
          <w:tcPr>
            <w:tcW w:type="dxa" w:w="450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Esempi di partnership / sinergie</w:t>
            </w:r>
          </w:p>
        </w:tc>
        <w:tc>
          <w:tcPr>
            <w:tcW w:type="dxa" w:w="266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Valore per Poste</w:t>
            </w:r>
          </w:p>
        </w:tc>
      </w:tr>
      <w:tr>
        <w:tc>
          <w:tcPr>
            <w:tcW w:type="dxa" w:w="22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Associazioni di rappresentanza</w:t>
            </w:r>
          </w:p>
        </w:tc>
        <w:tc>
          <w:tcPr>
            <w:tcW w:type="dxa" w:w="45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UICI, ENS, ANFFAS, ANMIC, FAND, AIPD, FISH</w:t>
            </w:r>
          </w:p>
        </w:tc>
        <w:tc>
          <w:tcPr>
            <w:tcW w:type="dxa" w:w="26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Verifiche soggettive con utenti reali; sensibilità sui cluster di disabilità</w:t>
            </w:r>
          </w:p>
        </w:tc>
      </w:tr>
      <w:tr>
        <w:tc>
          <w:tcPr>
            <w:tcW w:type="dxa" w:w="22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Università e ricerca</w:t>
            </w:r>
          </w:p>
        </w:tc>
        <w:tc>
          <w:tcPr>
            <w:tcW w:type="dxa" w:w="45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Politecnico di Milano (HOC-LAB), Università di Roma La Sapienza (Cattedra UNESCO), Alma Mater Bologna</w:t>
            </w:r>
          </w:p>
        </w:tc>
        <w:tc>
          <w:tcPr>
            <w:tcW w:type="dxa" w:w="26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Ricerca applicata, tirocini, validazione scientifica della metodologia AIDA</w:t>
            </w:r>
          </w:p>
        </w:tc>
      </w:tr>
      <w:tr>
        <w:tc>
          <w:tcPr>
            <w:tcW w:type="dxa" w:w="22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Organismi tecnico-normativi</w:t>
            </w:r>
          </w:p>
        </w:tc>
        <w:tc>
          <w:tcPr>
            <w:tcW w:type="dxa" w:w="45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AgID, IAAP Italia, W3C/WAI, UNI, AICA, Comitato Italiano EN 301549</w:t>
            </w:r>
          </w:p>
        </w:tc>
        <w:tc>
          <w:tcPr>
            <w:tcW w:type="dxa" w:w="26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Aggiornamento continuo su norme, partecipazione a tavoli tecnici</w:t>
            </w:r>
          </w:p>
        </w:tc>
      </w:tr>
      <w:tr>
        <w:tc>
          <w:tcPr>
            <w:tcW w:type="dxa" w:w="22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Community professionali</w:t>
            </w:r>
          </w:p>
        </w:tc>
        <w:tc>
          <w:tcPr>
            <w:tcW w:type="dxa" w:w="45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IAAP Italian Chapter, A11y Italia, Accessibility Camp, EuroIA</w:t>
            </w:r>
          </w:p>
        </w:tc>
        <w:tc>
          <w:tcPr>
            <w:tcW w:type="dxa" w:w="26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Knowledge sharing, recruiting di profili senior, peer review</w:t>
            </w:r>
          </w:p>
        </w:tc>
      </w:tr>
    </w:tbl>
    <w:p>
      <w:pPr>
        <w:spacing w:after="40" w:before="0" w:line="276"/>
        <w:jc w:val="both"/>
      </w:pPr>
      <w:r>
        <w:rPr>
          <w:rFonts w:ascii="Times New Roman" w:cs="Times New Roman" w:eastAsia="Times New Roman" w:hAnsi="Times New Roman"/>
          <w:b/>
          <w:bCs/>
          <w:sz w:val="24"/>
          <w:szCs w:val="24"/>
        </w:rPr>
        <w:t xml:space="preserve">Verifiche soggettive con utenti reali. </w:t>
      </w:r>
      <w:r>
        <w:rPr>
          <w:rFonts w:ascii="Times New Roman" w:cs="Times New Roman" w:eastAsia="Times New Roman" w:hAnsi="Times New Roman"/>
          <w:sz w:val="24"/>
          <w:szCs w:val="24"/>
        </w:rPr>
        <w:t xml:space="preserve">Tramite gli accordi con UICI, ENS, ANFFAS, ANMIC e FISH è disponibile un panel certificato di tester con disabilità (visiva, motoria, cognitiva, uditiva, multipla), attivabile entro 5 giorni lavorativi per i servizi P1, in coerenza con le Linee Guida AgID per la verifica soggettiva. Il panel è retribuito secondo standard equi e gestito con un protocollo etico e di tutela dei dati conforme al GDPR.</w:t>
      </w:r>
    </w:p>
    <w:p>
      <w:pPr>
        <w:pStyle w:val="Heading1"/>
        <w:spacing w:after="40" w:before="80" w:line="276"/>
      </w:pPr>
      <w:r>
        <w:rPr>
          <w:rFonts w:ascii="Times New Roman" w:cs="Times New Roman" w:eastAsia="Times New Roman" w:hAnsi="Times New Roman"/>
          <w:b/>
          <w:bCs/>
          <w:color w:val="1F3864"/>
          <w:sz w:val="26"/>
          <w:szCs w:val="26"/>
        </w:rPr>
        <w:t xml:space="preserve">e) Soluzione per la flessibilità del servizio</w:t>
      </w:r>
    </w:p>
    <w:p>
      <w:pPr>
        <w:spacing w:after="40" w:before="0" w:line="276"/>
        <w:jc w:val="both"/>
      </w:pPr>
      <w:r>
        <w:rPr>
          <w:rFonts w:ascii="Times New Roman" w:cs="Times New Roman" w:eastAsia="Times New Roman" w:hAnsi="Times New Roman"/>
          <w:b/>
          <w:bCs/>
          <w:sz w:val="24"/>
          <w:szCs w:val="24"/>
        </w:rPr>
        <w:t xml:space="preserve">Modello "flex pool" e capacity buffer. </w:t>
      </w:r>
      <w:r>
        <w:rPr>
          <w:rFonts w:ascii="Times New Roman" w:cs="Times New Roman" w:eastAsia="Times New Roman" w:hAnsi="Times New Roman"/>
          <w:sz w:val="24"/>
          <w:szCs w:val="24"/>
        </w:rPr>
        <w:t xml:space="preserve">Per garantire elasticità su tutti i servizi è prevista una soluzione strutturale basata su un pool dedicato (~15% di capacity buffer attivabile entro 48–72h), su un network di risorse certificate del Centro di Competenza (oltre 120 specialisti) e su accordi quadro con partner specializzati. Le situazioni di stress sono governate da un playbook formalizzato e testato, illustrato nella tabella seguente.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Situazione</w:t>
            </w:r>
          </w:p>
        </w:tc>
        <w:tc>
          <w:tcPr>
            <w:tcW w:type="dxa" w:w="440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Risposta operativa</w:t>
            </w:r>
          </w:p>
        </w:tc>
        <w:tc>
          <w:tcPr>
            <w:tcW w:type="dxa" w:w="2560"/>
            <w:tcBorders>
              <w:top w:val="single" w:color="808080" w:sz="4"/>
              <w:left w:val="single" w:color="808080" w:sz="4"/>
              <w:bottom w:val="single" w:color="808080" w:sz="4"/>
              <w:right w:val="single" w:color="808080" w:sz="4"/>
            </w:tcBorders>
            <w:shd w:fill="1F3864" w:val="clear"/>
            <w:tcMar>
              <w:top w:type="dxa" w:w="60"/>
              <w:left w:type="dxa" w:w="80"/>
              <w:bottom w:type="dxa" w:w="60"/>
              <w:right w:type="dxa" w:w="80"/>
            </w:tcMar>
          </w:tcPr>
          <w:p>
            <w:pPr>
              <w:spacing w:line="240"/>
              <w:jc w:val="center"/>
            </w:pPr>
            <w:r>
              <w:rPr>
                <w:rFonts w:ascii="Times New Roman" w:cs="Times New Roman" w:eastAsia="Times New Roman" w:hAnsi="Times New Roman"/>
                <w:b/>
                <w:bCs/>
                <w:color w:val="FFFFFF"/>
                <w:sz w:val="18"/>
                <w:szCs w:val="18"/>
              </w:rPr>
              <w:t xml:space="preserve">Tempo di attivazione / SLA</w:t>
            </w:r>
          </w:p>
        </w:tc>
      </w:tr>
      <w:tr>
        <w:tc>
          <w:tcPr>
            <w:tcW w:type="dxa" w:w="24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Scostamenti significativi su pianificazione/effort</w:t>
            </w:r>
          </w:p>
        </w:tc>
        <w:tc>
          <w:tcPr>
            <w:tcW w:type="dxa" w:w="44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Ricalcolo Estimator + EVM (CPI/SPI), riallineamento Master Plan, attivazione flex pool, change request formalizzato</w:t>
            </w:r>
          </w:p>
        </w:tc>
        <w:tc>
          <w:tcPr>
            <w:tcW w:type="dxa" w:w="25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Riallineamento entro 5 gg lav.</w:t>
            </w:r>
          </w:p>
        </w:tc>
      </w:tr>
      <w:tr>
        <w:tc>
          <w:tcPr>
            <w:tcW w:type="dxa" w:w="24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Contrazione tempi pianificati per esigenze di business</w:t>
            </w:r>
          </w:p>
        </w:tc>
        <w:tc>
          <w:tcPr>
            <w:tcW w:type="dxa" w:w="44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Compressione del piano con re-prioritizzazione, parallelizzazione su grid e farm cloud, fast-track con AIDA</w:t>
            </w:r>
          </w:p>
        </w:tc>
        <w:tc>
          <w:tcPr>
            <w:tcW w:type="dxa" w:w="25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Piano rivisto entro 2 gg lav.</w:t>
            </w:r>
          </w:p>
        </w:tc>
      </w:tr>
      <w:tr>
        <w:tc>
          <w:tcPr>
            <w:tcW w:type="dxa" w:w="24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Richieste estemporanee per analisi anomalie di accessibilità</w:t>
            </w:r>
          </w:p>
        </w:tc>
        <w:tc>
          <w:tcPr>
            <w:tcW w:type="dxa" w:w="44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Squadra di intervento rapido ("A11y Strike Team") con Specialist Senior + Test Engineer su standby</w:t>
            </w:r>
          </w:p>
        </w:tc>
        <w:tc>
          <w:tcPr>
            <w:tcW w:type="dxa" w:w="25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Presa in carico ≤ 4h lav., primo riscontro ≤ 24h</w:t>
            </w:r>
          </w:p>
        </w:tc>
      </w:tr>
      <w:tr>
        <w:tc>
          <w:tcPr>
            <w:tcW w:type="dxa" w:w="24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Picchi di attività in parallelo (anche presso scadenze di legge)</w:t>
            </w:r>
          </w:p>
        </w:tc>
        <w:tc>
          <w:tcPr>
            <w:tcW w:type="dxa" w:w="44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Scaling orizzontale del flex pool, attivazione partner, coordinamento Multi-iniziativa via TMO</w:t>
            </w:r>
          </w:p>
        </w:tc>
        <w:tc>
          <w:tcPr>
            <w:tcW w:type="dxa" w:w="25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Aumento di capacity ×2 entro 5 gg lav.</w:t>
            </w:r>
          </w:p>
        </w:tc>
      </w:tr>
      <w:tr>
        <w:tc>
          <w:tcPr>
            <w:tcW w:type="dxa" w:w="24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Sospensioni temporanee per cause esterne</w:t>
            </w:r>
          </w:p>
        </w:tc>
        <w:tc>
          <w:tcPr>
            <w:tcW w:type="dxa" w:w="440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Ridistribuzione delle risorse su altre iniziative, hold formalizzato, ripresa con minimo lead-time</w:t>
            </w:r>
          </w:p>
        </w:tc>
        <w:tc>
          <w:tcPr>
            <w:tcW w:type="dxa" w:w="2560"/>
            <w:tcBorders>
              <w:top w:val="single" w:color="808080" w:sz="4"/>
              <w:left w:val="single" w:color="808080" w:sz="4"/>
              <w:bottom w:val="single" w:color="808080" w:sz="4"/>
              <w:right w:val="single" w:color="808080" w:sz="4"/>
            </w:tcBorders>
            <w:shd w:fill="FFFFFF"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Ripresa entro 24h dalla rimozione della causa</w:t>
            </w:r>
          </w:p>
        </w:tc>
      </w:tr>
      <w:tr>
        <w:tc>
          <w:tcPr>
            <w:tcW w:type="dxa" w:w="24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Interventi fuori orario / giorni non lavorativi</w:t>
            </w:r>
          </w:p>
        </w:tc>
        <w:tc>
          <w:tcPr>
            <w:tcW w:type="dxa" w:w="440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Reperibilità H24, turnazione e maggiorazioni come da CCNL, accordo di disponibilità con Poste</w:t>
            </w:r>
          </w:p>
        </w:tc>
        <w:tc>
          <w:tcPr>
            <w:tcW w:type="dxa" w:w="2560"/>
            <w:tcBorders>
              <w:top w:val="single" w:color="808080" w:sz="4"/>
              <w:left w:val="single" w:color="808080" w:sz="4"/>
              <w:bottom w:val="single" w:color="808080" w:sz="4"/>
              <w:right w:val="single" w:color="808080" w:sz="4"/>
            </w:tcBorders>
            <w:shd w:fill="F2F2F2" w:val="clear"/>
            <w:tcMar>
              <w:top w:type="dxa" w:w="30"/>
              <w:left w:type="dxa" w:w="80"/>
              <w:bottom w:type="dxa" w:w="30"/>
              <w:right w:type="dxa" w:w="80"/>
            </w:tcMar>
          </w:tcPr>
          <w:p>
            <w:pPr>
              <w:spacing w:line="220"/>
              <w:jc w:val="left"/>
            </w:pPr>
            <w:r>
              <w:rPr>
                <w:rFonts w:ascii="Times New Roman" w:cs="Times New Roman" w:eastAsia="Times New Roman" w:hAnsi="Times New Roman"/>
                <w:b w:val="false"/>
                <w:bCs w:val="false"/>
                <w:sz w:val="18"/>
                <w:szCs w:val="18"/>
              </w:rPr>
              <w:t xml:space="preserve">Attivazione ≤ 2h</w:t>
            </w:r>
          </w:p>
        </w:tc>
      </w:tr>
    </w:tbl>
    <w:p>
      <w:pPr>
        <w:spacing w:after="40" w:before="0" w:line="276"/>
        <w:jc w:val="both"/>
      </w:pPr>
      <w:r>
        <w:rPr>
          <w:rFonts w:ascii="Times New Roman" w:cs="Times New Roman" w:eastAsia="Times New Roman" w:hAnsi="Times New Roman"/>
          <w:b/>
          <w:bCs/>
          <w:sz w:val="24"/>
          <w:szCs w:val="24"/>
        </w:rPr>
        <w:t xml:space="preserve">Dimensionamento del flex pool e impegni concreti. </w:t>
      </w:r>
      <w:r>
        <w:rPr>
          <w:rFonts w:ascii="Times New Roman" w:cs="Times New Roman" w:eastAsia="Times New Roman" w:hAnsi="Times New Roman"/>
          <w:sz w:val="24"/>
          <w:szCs w:val="24"/>
        </w:rPr>
        <w:t xml:space="preserve">A garanzia di trasparenza e misurabilità degli impegni di flessibilità, il modello prevede dimensionamenti e SLA quantificati: capacity buffer pari almeno al 15% del team base attivabile entro 48–72h; A11y Strike Team di intervento rapido composto da 1 Senior Specialist + 1 Test Engineer su standby in fasce predefinite; possibilità di scaling ×2 della capacità entro 5 giorni lavorativi via flex pool e partner; reperibilità H24 per i servizi P1 con presa in carico ≤ 2h. Tutti i tempi sono assoggettati a SLA contrattuali con misurazione automatica e reporting mensile. </w:t>
      </w:r>
    </w:p>
    <w:p>
      <w:pPr>
        <w:spacing w:after="40" w:before="0" w:line="276"/>
        <w:jc w:val="both"/>
      </w:pPr>
      <w:r>
        <w:rPr>
          <w:rFonts w:ascii="Times New Roman" w:cs="Times New Roman" w:eastAsia="Times New Roman" w:hAnsi="Times New Roman"/>
          <w:b/>
          <w:bCs/>
          <w:sz w:val="24"/>
          <w:szCs w:val="24"/>
        </w:rPr>
        <w:t xml:space="preserve">Continuità e tutela del servizio. </w:t>
      </w:r>
      <w:r>
        <w:rPr>
          <w:rFonts w:ascii="Times New Roman" w:cs="Times New Roman" w:eastAsia="Times New Roman" w:hAnsi="Times New Roman"/>
          <w:sz w:val="24"/>
          <w:szCs w:val="24"/>
        </w:rPr>
        <w:t xml:space="preserve">La flessibilità è sostenuta da: piano di Business Continuity &amp; Disaster Recovery con RTO ≤ 4h e RPO ≤ 1h sui sistemi di Test Management, knowledge base e AIDA; cross-training sistematico (job rotation programmata) per evitare single point of knowledge; ridondanza geografica delle sedi operative (Italia/UE); copertura assicurativa professionale; clausole di Service Credit a tutela del Cliente in caso di mancato rispetto degli SLA. La governance del modello di flessibilità è in capo al Service Manager, con report mensile a Poste sull'utilizzo del flex pool, sulle eccezioni gestite e sulle azioni correttive intraprese.</w:t>
      </w:r>
    </w:p>
    <w:sectPr>
      <w:headerReference w:type="default" r:id="rId7"/>
      <w:footerReference w:type="default" r:id="rId8"/>
      <w:type w:val="nextPage"/>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Pagina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18"/>
        <w:szCs w:val="18"/>
      </w:rPr>
      <w:t xml:space="preserve">Scheda VA_REQ_57 — Organizzazione dell'Impresa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80" w:line="276"/>
      <w:outlineLvl w:val="0"/>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Scheda VA_REQ_57 — Organizzazione dell'Impresa</dc:title>
  <dc:creator>Team Accessibilità &amp; Quality Engineering</dc:creator>
  <dc:description>Risposta al Capitolato Tecnico Poste Italiane (Allegato 2)</dc:description>
  <cp:lastModifiedBy>Un-named</cp:lastModifiedBy>
  <cp:revision>1</cp:revision>
  <dcterms:created xsi:type="dcterms:W3CDTF">2026-05-04T15:35:54.049Z</dcterms:created>
  <dcterms:modified xsi:type="dcterms:W3CDTF">2026-05-04T15:35:54.049Z</dcterms:modified>
</cp:coreProperties>
</file>

<file path=docProps/custom.xml><?xml version="1.0" encoding="utf-8"?>
<Properties xmlns="http://schemas.openxmlformats.org/officeDocument/2006/custom-properties" xmlns:vt="http://schemas.openxmlformats.org/officeDocument/2006/docPropsVTypes"/>
</file>