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color w:val="595959"/>
          <w:sz w:val="24"/>
          <w:szCs w:val="24"/>
        </w:rPr>
        <w:t xml:space="preserve">Risposta al Capitolato Tecnico</w:t>
      </w:r>
    </w:p>
    <w:p>
      <w:pPr>
        <w:spacing w:after="120"/>
        <w:jc w:val="center"/>
      </w:pPr>
      <w:r>
        <w:rPr>
          <w:rFonts w:ascii="Calibri" w:cs="Calibri" w:eastAsia="Calibri" w:hAnsi="Calibri"/>
          <w:i/>
          <w:iCs/>
          <w:color w:val="595959"/>
          <w:sz w:val="22"/>
          <w:szCs w:val="22"/>
        </w:rPr>
        <w:t xml:space="preserve">Servizi di supporto specialistico per l'esecuzione e il monitoraggio delle verifiche tecniche dell'accessibilità dei servizi e dei prodotti — Poste Italiane</w:t>
      </w:r>
    </w:p>
    <w:p>
      <w:pPr>
        <w:spacing w:after="120" w:before="240"/>
        <w:jc w:val="center"/>
      </w:pPr>
      <w:r>
        <w:rPr>
          <w:rFonts w:ascii="Calibri" w:cs="Calibri" w:eastAsia="Calibri" w:hAnsi="Calibri"/>
          <w:b/>
          <w:bCs/>
          <w:color w:val="1F3864"/>
          <w:sz w:val="40"/>
          <w:szCs w:val="40"/>
        </w:rPr>
        <w:t xml:space="preserve">VA_REQ_56 — Approccio metodologico e di progetto</w:t>
      </w:r>
    </w:p>
    <w:p>
      <w:pPr>
        <w:spacing w:after="360"/>
        <w:jc w:val="center"/>
      </w:pPr>
      <w:r>
        <w:rPr>
          <w:rFonts w:ascii="Calibri" w:cs="Calibri" w:eastAsia="Calibri" w:hAnsi="Calibri"/>
          <w:b/>
          <w:bCs/>
          <w:color w:val="C00000"/>
          <w:sz w:val="22"/>
          <w:szCs w:val="22"/>
        </w:rPr>
        <w:t xml:space="preserve">Peso requisito (Wi) = 10 — Punteggio massimo: 60 punti</w:t>
      </w:r>
    </w:p>
    <w:p>
      <w:pPr>
        <w:pStyle w:val="Heading1"/>
        <w:spacing w:after="200" w:before="360"/>
      </w:pPr>
      <w:r>
        <w:rPr>
          <w:rFonts w:ascii="Calibri" w:cs="Calibri" w:eastAsia="Calibri" w:hAnsi="Calibri"/>
          <w:b/>
          <w:bCs/>
          <w:color w:val="1F3864"/>
          <w:sz w:val="32"/>
          <w:szCs w:val="32"/>
        </w:rPr>
        <w:t xml:space="preserve">1. Premessa metodologica e principi guida</w:t>
      </w:r>
    </w:p>
    <w:p>
      <w:pPr>
        <w:spacing w:after="80" w:before="80" w:line="300"/>
        <w:jc w:val="both"/>
      </w:pPr>
      <w:r>
        <w:rPr>
          <w:rFonts w:ascii="Calibri" w:cs="Calibri" w:eastAsia="Calibri" w:hAnsi="Calibri"/>
          <w:sz w:val="22"/>
          <w:szCs w:val="22"/>
        </w:rPr>
        <w:t xml:space="preserve">La metodologia proposta è progettata per coprire in modo nativo i sei Type-of-Work (TOW 1–6) del Capitolato e per declinarsi in maniera coerente sui differenti contesti di esecuzione: canali digitali in esercizio (TOW 1), servizi e prodotti (TOW 2–3), monitoraggio automatico (TOW 4), governo e coordinamento (TOW 5), test pre-rilascio integrati nei collaudi funzionali (TOW 6). L'approccio è strutturato per garantire piena conformità alla norma UNI CEI EN 301549 (versione vigente), alle WCAG 2.2 livello AA, alle Linee Guida AgID sull'accessibilità (Art. 3 c. 1-bis L. 4/2004 e D.Lgs. 82/2022), alla Determinazione AGID n. 355/2022 e alla Circolare AGID n. 3/2022, recependo inoltre i requisiti dell'European Accessibility Act (Direttiva UE 2019/882, Allegati I e II).</w:t>
      </w:r>
    </w:p>
    <w:p>
      <w:pPr>
        <w:spacing w:after="80" w:before="80" w:line="300"/>
        <w:jc w:val="both"/>
      </w:pPr>
      <w:r>
        <w:rPr>
          <w:rFonts w:ascii="Calibri" w:cs="Calibri" w:eastAsia="Calibri" w:hAnsi="Calibri"/>
          <w:sz w:val="22"/>
          <w:szCs w:val="22"/>
        </w:rPr>
        <w:t xml:space="preserve">L'impianto metodologico poggia su cinque principi guida: (i) un modello di processo standardizzato e tracciabile end-to-end, (ii) l'adozione sistematica di automazione e Intelligenza Artificiale come moltiplicatori di efficacia ed efficienza — orchestrate dalla nostra piattaforma proprietaria AIDA (Accessibility Intelligence Driven Assistant) —, (iii) la tracciabilità completa delle evidenze tramite knowledge base centralizzata, (iv) la prioritizzazione risk-based delle non conformità correlata alla customer experience degli utenti con disabilità, (v) un set di KPI/SLA misurabili e auto-strumentati, alimentati in tempo reale dai tool di esecuzione.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4"/>
              <w:right w:val="single" w:color="1F3864" w:sz="4"/>
            </w:tcBorders>
            <w:shd w:fill="DCE6F1"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AIDA — Accessibility Intelligence Driven Assistant (a colpo d'occhio)</w:t>
            </w:r>
          </w:p>
          <w:p>
            <w:pPr>
              <w:spacing w:after="40" w:before="40" w:line="280"/>
              <w:jc w:val="both"/>
            </w:pPr>
            <w:r>
              <w:rPr>
                <w:rFonts w:ascii="Calibri" w:cs="Calibri" w:eastAsia="Calibri" w:hAnsi="Calibri"/>
                <w:sz w:val="22"/>
                <w:szCs w:val="22"/>
              </w:rPr>
              <w:t xml:space="preserve">AIDA è la piattaforma AI proprietaria del nostro Centro di Competenza Accessibilità, costruita su modelli LLM specializzati e classificatori di computer vision addestrati su un dataset di oltre 800.000 violazioni storiche EN 301549/WCAG. AIDA è già stata applicata in contesti enterprise comparabili a Poste Italiane (banking, PA centrale, telco), con riduzioni misurate del 40–55% del tempo di test e un incremento del recall sulle non conformità di tipo semantico fino al 30% rispetto ai soli scanner deterministici.</w:t>
            </w:r>
          </w:p>
          <w:p>
            <w:pPr>
              <w:spacing w:after="40" w:before="40" w:line="280"/>
              <w:jc w:val="both"/>
            </w:pPr>
            <w:r>
              <w:rPr>
                <w:rFonts w:ascii="Calibri" w:cs="Calibri" w:eastAsia="Calibri" w:hAnsi="Calibri"/>
                <w:sz w:val="22"/>
                <w:szCs w:val="22"/>
              </w:rPr>
              <w:t xml:space="preserve">AIDA opera in modalità human-in-the-loop: nessuna evidenza viene chiusa senza validazione del Test Engineer certificato. Ogni suggerimento dell'AI è tracciato, spiegabile (Explainable AI) e archiviato per fini di auditabilità e di miglioramento continuo dei modelli.</w:t>
            </w:r>
          </w:p>
        </w:tc>
      </w:tr>
    </w:tbl>
    <w:p>
      <w:pPr>
        <w:pStyle w:val="Heading1"/>
        <w:spacing w:after="200" w:before="360"/>
      </w:pPr>
      <w:r>
        <w:rPr>
          <w:rFonts w:ascii="Calibri" w:cs="Calibri" w:eastAsia="Calibri" w:hAnsi="Calibri"/>
          <w:b/>
          <w:bCs/>
          <w:color w:val="1F3864"/>
          <w:sz w:val="32"/>
          <w:szCs w:val="32"/>
        </w:rPr>
        <w:t xml:space="preserve">2. Sotto-requisito (a) — Metodologia adottata per i test e le verifiche tecniche di accessibilità</w:t>
      </w:r>
    </w:p>
    <w:p>
      <w:pPr>
        <w:spacing w:after="80" w:before="80" w:line="300"/>
        <w:jc w:val="both"/>
      </w:pPr>
      <w:r>
        <w:rPr>
          <w:rFonts w:ascii="Calibri" w:cs="Calibri" w:eastAsia="Calibri" w:hAnsi="Calibri"/>
          <w:sz w:val="22"/>
          <w:szCs w:val="22"/>
        </w:rPr>
        <w:t xml:space="preserve">Il framework metodologico si articola in sei fasi progressive — Discovery, Scoping &amp; Sampling, Pre-conditions, Execution, Reporting, Continuous Improvement — applicabili in modo modulare ai TOW 1–3 (verifica tecnica su canali, servizi, prodotti) e ai TOW 6 (testing pre-rilascio). Ogni fase prevede deliverable normati, gate di qualità e tracciabilità in piattaforma.</w:t>
      </w:r>
    </w:p>
    <w:p>
      <w:pPr>
        <w:pStyle w:val="Heading2"/>
        <w:spacing w:after="160" w:before="280"/>
      </w:pPr>
      <w:r>
        <w:rPr>
          <w:rFonts w:ascii="Calibri" w:cs="Calibri" w:eastAsia="Calibri" w:hAnsi="Calibri"/>
          <w:b/>
          <w:bCs/>
          <w:color w:val="1F3864"/>
          <w:sz w:val="26"/>
          <w:szCs w:val="26"/>
        </w:rPr>
        <w:t xml:space="preserve">2.1 Criteri di definizione e prioritizzazione dei servizi digitali</w:t>
      </w:r>
    </w:p>
    <w:p>
      <w:pPr>
        <w:spacing w:after="80" w:before="80" w:line="300"/>
        <w:jc w:val="both"/>
      </w:pPr>
      <w:r>
        <w:rPr>
          <w:rFonts w:ascii="Calibri" w:cs="Calibri" w:eastAsia="Calibri" w:hAnsi="Calibri"/>
          <w:sz w:val="22"/>
          <w:szCs w:val="22"/>
        </w:rPr>
        <w:t xml:space="preserve">La selezione e prioritizzazione dei perimetri di verifica è guidata da un modello multi-criterio (MCDM) che pesa cinque dimensioni: (i) traffico e volume di utenti reali (analytics, telemetria), (ii) criticità di business e rischio sanzionatorio (ex art. 21 D.Lgs. 82/2022), (iii) impatto sulla popolazione con disabilità (mappatura per cluster di esigenze: visive, motorie, cognitive, uditive), (iv) maturità di accessibilità storica del touchpoint (segnalazioni, conformità pregressa), (v) prossimità al ciclo di rilascio software.</w:t>
      </w:r>
    </w:p>
    <w:p>
      <w:pPr>
        <w:spacing w:after="80" w:before="80" w:line="300"/>
        <w:jc w:val="both"/>
      </w:pPr>
      <w:r>
        <w:rPr>
          <w:rFonts w:ascii="Calibri" w:cs="Calibri" w:eastAsia="Calibri" w:hAnsi="Calibri"/>
          <w:sz w:val="22"/>
          <w:szCs w:val="22"/>
        </w:rPr>
        <w:t xml:space="preserve">L'output del modello è una Heat-Map dei servizi digitali con classificazione P1/P2/P3, costantemente aggiornata e condivisa con la struttura Digital&amp;Experience/Ascolto Cliente. Per i TOW 6 la prioritizzazione è inoltre allineata al backlog di rilascio, mentre per i TOW 1 segue la roadmap di aggiornamento delle Dichiarazioni di Accessibilità.</w:t>
      </w:r>
    </w:p>
    <w:p>
      <w:pPr>
        <w:pStyle w:val="Heading2"/>
        <w:spacing w:after="160" w:before="280"/>
      </w:pPr>
      <w:r>
        <w:rPr>
          <w:rFonts w:ascii="Calibri" w:cs="Calibri" w:eastAsia="Calibri" w:hAnsi="Calibri"/>
          <w:b/>
          <w:bCs/>
          <w:color w:val="1F3864"/>
          <w:sz w:val="26"/>
          <w:szCs w:val="26"/>
        </w:rPr>
        <w:t xml:space="preserve">2.2 Applicazione delle regole di campionamento</w:t>
      </w:r>
    </w:p>
    <w:p>
      <w:pPr>
        <w:spacing w:after="80" w:before="80" w:line="300"/>
        <w:jc w:val="both"/>
      </w:pPr>
      <w:r>
        <w:rPr>
          <w:rFonts w:ascii="Calibri" w:cs="Calibri" w:eastAsia="Calibri" w:hAnsi="Calibri"/>
          <w:sz w:val="22"/>
          <w:szCs w:val="22"/>
        </w:rPr>
        <w:t xml:space="preserve">Il campionamento delle pagine è condotto secondo le Linee Guida AgID sull'accessibilità degli strumenti informatici e in coerenza con la metodologia WCAG-EM (W3C Evaluation Methodology). Si adotta un campione strutturato che combina:</w:t>
      </w:r>
    </w:p>
    <w:p>
      <w:pPr>
        <w:pStyle w:val="ListParagraph"/>
        <w:numPr>
          <w:ilvl w:val="0"/>
          <w:numId w:val="2"/>
        </w:numPr>
        <w:spacing w:after="40" w:before="40" w:line="280"/>
        <w:jc w:val="both"/>
      </w:pPr>
      <w:r>
        <w:rPr>
          <w:rFonts w:ascii="Calibri" w:cs="Calibri" w:eastAsia="Calibri" w:hAnsi="Calibri"/>
          <w:sz w:val="22"/>
          <w:szCs w:val="22"/>
        </w:rPr>
        <w:t xml:space="preserve">Pagine core e ad alto traffico (homepage, login, pagine di servizio principali);</w:t>
      </w:r>
    </w:p>
    <w:p>
      <w:pPr>
        <w:pStyle w:val="ListParagraph"/>
        <w:numPr>
          <w:ilvl w:val="0"/>
          <w:numId w:val="2"/>
        </w:numPr>
        <w:spacing w:after="40" w:before="40" w:line="280"/>
        <w:jc w:val="both"/>
      </w:pPr>
      <w:r>
        <w:rPr>
          <w:rFonts w:ascii="Calibri" w:cs="Calibri" w:eastAsia="Calibri" w:hAnsi="Calibri"/>
          <w:sz w:val="22"/>
          <w:szCs w:val="22"/>
        </w:rPr>
        <w:t xml:space="preserve">Pagine rappresentative di template e pattern UI ricorrenti (un esemplare per ogni layout e per ogni componente di design system);</w:t>
      </w:r>
    </w:p>
    <w:p>
      <w:pPr>
        <w:pStyle w:val="ListParagraph"/>
        <w:numPr>
          <w:ilvl w:val="0"/>
          <w:numId w:val="2"/>
        </w:numPr>
        <w:spacing w:after="40" w:before="40" w:line="280"/>
        <w:jc w:val="both"/>
      </w:pPr>
      <w:r>
        <w:rPr>
          <w:rFonts w:ascii="Calibri" w:cs="Calibri" w:eastAsia="Calibri" w:hAnsi="Calibri"/>
          <w:sz w:val="22"/>
          <w:szCs w:val="22"/>
        </w:rPr>
        <w:t xml:space="preserve">Flussi end-to-end completi (almeno un percorso utente esteso, es. autenticazione, pagamento, sottoscrizione);</w:t>
      </w:r>
    </w:p>
    <w:p>
      <w:pPr>
        <w:pStyle w:val="ListParagraph"/>
        <w:numPr>
          <w:ilvl w:val="0"/>
          <w:numId w:val="2"/>
        </w:numPr>
        <w:spacing w:after="40" w:before="40" w:line="280"/>
        <w:jc w:val="both"/>
      </w:pPr>
      <w:r>
        <w:rPr>
          <w:rFonts w:ascii="Calibri" w:cs="Calibri" w:eastAsia="Calibri" w:hAnsi="Calibri"/>
          <w:sz w:val="22"/>
          <w:szCs w:val="22"/>
        </w:rPr>
        <w:t xml:space="preserve">Pagine random-extracted con tecniche di crawling stratificato (per garantire copertura statistica);</w:t>
      </w:r>
    </w:p>
    <w:p>
      <w:pPr>
        <w:pStyle w:val="ListParagraph"/>
        <w:numPr>
          <w:ilvl w:val="0"/>
          <w:numId w:val="2"/>
        </w:numPr>
        <w:spacing w:after="40" w:before="40" w:line="280"/>
        <w:jc w:val="both"/>
      </w:pPr>
      <w:r>
        <w:rPr>
          <w:rFonts w:ascii="Calibri" w:cs="Calibri" w:eastAsia="Calibri" w:hAnsi="Calibri"/>
          <w:sz w:val="22"/>
          <w:szCs w:val="22"/>
        </w:rPr>
        <w:t xml:space="preserve">Pagine segnalate da utenti finali o emerse dal monitoraggio automatico TOW 4.</w:t>
      </w:r>
    </w:p>
    <w:p>
      <w:pPr>
        <w:spacing w:after="80" w:before="80" w:line="300"/>
        <w:jc w:val="both"/>
      </w:pPr>
      <w:r>
        <w:rPr>
          <w:rFonts w:ascii="Calibri" w:cs="Calibri" w:eastAsia="Calibri" w:hAnsi="Calibri"/>
          <w:sz w:val="22"/>
          <w:szCs w:val="22"/>
        </w:rPr>
        <w:t xml:space="preserve">AIDA supporta il sampling tramite un modulo di Crawl-and-Cluster che, dato un dominio, genera in automatico la mappa dei template e raccomanda il campione minimo statisticamente significativo, riducendo del ~35% lo sforzo manuale di selezione e aumentando la copertura di componenti unici rilevati.</w:t>
      </w:r>
    </w:p>
    <w:p>
      <w:pPr>
        <w:pStyle w:val="Heading2"/>
        <w:spacing w:after="160" w:before="280"/>
      </w:pPr>
      <w:r>
        <w:rPr>
          <w:rFonts w:ascii="Calibri" w:cs="Calibri" w:eastAsia="Calibri" w:hAnsi="Calibri"/>
          <w:b/>
          <w:bCs/>
          <w:color w:val="1F3864"/>
          <w:sz w:val="26"/>
          <w:szCs w:val="26"/>
        </w:rPr>
        <w:t xml:space="preserve">2.3 Verifica delle precondizioni e applicabilità dei requisiti</w:t>
      </w:r>
    </w:p>
    <w:p>
      <w:pPr>
        <w:spacing w:after="80" w:before="80" w:line="300"/>
        <w:jc w:val="both"/>
      </w:pPr>
      <w:r>
        <w:rPr>
          <w:rFonts w:ascii="Calibri" w:cs="Calibri" w:eastAsia="Calibri" w:hAnsi="Calibri"/>
          <w:sz w:val="22"/>
          <w:szCs w:val="22"/>
        </w:rPr>
        <w:t xml:space="preserve">Per ciascun touchpoint si esegue una scheda di precondizione che verifica la disponibilità degli ambienti, delle credenziali di test (incluse utenze con privilegi differenti), dei dataset, della documentazione tecnica e delle Dichiarazioni di Accessibilità pregresse. La determinazione dell'applicabilità di ciascun criterio EN 301549/WCAG è condotta tramite una matrice di copertura che, partendo dal tipo di asset (sito web, web-app, app nativa iOS/Android, documento, software desktop, hardware kiosk), abilita il sottoinsieme di criteri pertinenti, evitando la dispersione di effort su criteri non applicabili e prevenendo errori di valutazione.</w:t>
      </w:r>
    </w:p>
    <w:p>
      <w:pPr>
        <w:pStyle w:val="Heading2"/>
        <w:spacing w:after="160" w:before="280"/>
      </w:pPr>
      <w:r>
        <w:rPr>
          <w:rFonts w:ascii="Calibri" w:cs="Calibri" w:eastAsia="Calibri" w:hAnsi="Calibri"/>
          <w:b/>
          <w:bCs/>
          <w:color w:val="1F3864"/>
          <w:sz w:val="26"/>
          <w:szCs w:val="26"/>
        </w:rPr>
        <w:t xml:space="preserve">2.4 Esecuzione delle verifiche</w:t>
      </w:r>
    </w:p>
    <w:p>
      <w:pPr>
        <w:spacing w:after="80" w:before="80" w:line="300"/>
        <w:jc w:val="both"/>
      </w:pPr>
      <w:r>
        <w:rPr>
          <w:rFonts w:ascii="Calibri" w:cs="Calibri" w:eastAsia="Calibri" w:hAnsi="Calibri"/>
          <w:sz w:val="22"/>
          <w:szCs w:val="22"/>
        </w:rPr>
        <w:t xml:space="preserve">L'esecuzione segue il modello a tre layer integrati: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Layer</w:t>
            </w:r>
          </w:p>
        </w:tc>
        <w:tc>
          <w:tcPr>
            <w:tcW w:type="dxa" w:w="4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Tipologia di verifica</w:t>
            </w:r>
          </w:p>
        </w:tc>
        <w:tc>
          <w:tcPr>
            <w:tcW w:type="dxa" w:w="29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Strumenti / Output</w:t>
            </w:r>
          </w:p>
        </w:tc>
      </w:tr>
      <w:tr>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L1 — Automatica</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Scanner deterministici sui criteri WCAG automatizzabili (~30%)</w:t>
            </w:r>
          </w:p>
        </w:tc>
        <w:tc>
          <w:tcPr>
            <w:tcW w:type="dxa" w:w="29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axe-core, WAVE, Pa11y, Lighthouse, Tenon, AIDA Auto-Scan</w:t>
            </w:r>
          </w:p>
        </w:tc>
      </w:tr>
      <w:tr>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L2 — Semi-automatica</w:t>
            </w:r>
          </w:p>
        </w:tc>
        <w:tc>
          <w:tcPr>
            <w:tcW w:type="dxa" w:w="4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Verifiche assistite con supporto AI (semantica HTML, contrasto contestuale, focus order, ARIA)</w:t>
            </w:r>
          </w:p>
        </w:tc>
        <w:tc>
          <w:tcPr>
            <w:tcW w:type="dxa" w:w="2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AIDA Co-Pilot, ANDI, Accessibility Insights</w:t>
            </w:r>
          </w:p>
        </w:tc>
      </w:tr>
      <w:tr>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L3 — Manuale esperta</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Test soggettivi con assistive technology e con utenti con disabilità</w:t>
            </w:r>
          </w:p>
        </w:tc>
        <w:tc>
          <w:tcPr>
            <w:tcW w:type="dxa" w:w="29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JAWS, NVDA, VoiceOver, TalkBack, Dragon, switch control, eye tracker</w:t>
            </w:r>
          </w:p>
        </w:tc>
      </w:tr>
    </w:tbl>
    <w:p>
      <w:pPr>
        <w:spacing w:after="80" w:before="80" w:line="300"/>
        <w:jc w:val="both"/>
      </w:pPr>
      <w:r>
        <w:rPr>
          <w:rFonts w:ascii="Calibri" w:cs="Calibri" w:eastAsia="Calibri" w:hAnsi="Calibri"/>
          <w:sz w:val="22"/>
          <w:szCs w:val="22"/>
        </w:rPr>
        <w:t xml:space="preserve">La progressione attraverso i layer è governata da un orchestratore che, sulla base dei criteri applicabili e della priorità del touchpoint, assegna ciascuna verifica al layer più efficiente, riservando l'effort esperto agli aspetti realmente non automatizzabili. Tutte le evidenze sono archiviate in formato AgID e tracciabili nella knowledge base, garantendo riproducibilità e auditabilità.</w:t>
      </w:r>
    </w:p>
    <w:p>
      <w:pPr>
        <w:pStyle w:val="Heading1"/>
        <w:spacing w:after="200" w:before="360"/>
      </w:pPr>
      <w:r>
        <w:rPr>
          <w:rFonts w:ascii="Calibri" w:cs="Calibri" w:eastAsia="Calibri" w:hAnsi="Calibri"/>
          <w:b/>
          <w:bCs/>
          <w:color w:val="1F3864"/>
          <w:sz w:val="32"/>
          <w:szCs w:val="32"/>
        </w:rPr>
        <w:t xml:space="preserve">3. Sotto-requisito (b) — Test Execution: strumenti, tecniche, metodologie e proposte AI</w:t>
      </w:r>
    </w:p>
    <w:p>
      <w:pPr>
        <w:spacing w:after="80" w:before="80" w:line="300"/>
        <w:jc w:val="both"/>
      </w:pPr>
      <w:r>
        <w:rPr>
          <w:rFonts w:ascii="Calibri" w:cs="Calibri" w:eastAsia="Calibri" w:hAnsi="Calibri"/>
          <w:sz w:val="22"/>
          <w:szCs w:val="22"/>
        </w:rPr>
        <w:t xml:space="preserve">La capacità di sostenere il volume di iniziative previsto dal Capitolato (244 TOW1, 370 TOW2, 46 TOW3, 275 TOW6 per un totale di 935 iniziative TOW1-2-3-6) richiede un'organizzazione del Test Execution che bilanci profondità tecnica, ripetibilità e velocità. Il nostro approccio combina un toolchain multi-layer best-of-breed con la piattaforma AI proprietaria AIDA, e si adatta dinamicamente alle diverse condizioni di esecuzione (web, mobile, hybrid, documenti, kiosk, software, hardware).</w:t>
      </w:r>
    </w:p>
    <w:p>
      <w:pPr>
        <w:pStyle w:val="Heading2"/>
        <w:spacing w:after="160" w:before="280"/>
      </w:pPr>
      <w:r>
        <w:rPr>
          <w:rFonts w:ascii="Calibri" w:cs="Calibri" w:eastAsia="Calibri" w:hAnsi="Calibri"/>
          <w:b/>
          <w:bCs/>
          <w:color w:val="1F3864"/>
          <w:sz w:val="26"/>
          <w:szCs w:val="26"/>
        </w:rPr>
        <w:t xml:space="preserve">3.1 Toolchain e copertura tecnologica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Ambito</w:t>
            </w:r>
          </w:p>
        </w:tc>
        <w:tc>
          <w:tcPr>
            <w:tcW w:type="dxa" w:w="4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Strumenti primari</w:t>
            </w:r>
          </w:p>
        </w:tc>
        <w:tc>
          <w:tcPr>
            <w:tcW w:type="dxa" w:w="30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Standard verificati</w:t>
            </w:r>
          </w:p>
        </w:tc>
      </w:tr>
      <w:tr>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Web (siti e web-app)</w:t>
            </w:r>
          </w:p>
        </w:tc>
        <w:tc>
          <w:tcPr>
            <w:tcW w:type="dxa" w:w="4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axe-core, WAVE, Pa11y CI, Lighthouse, Siteimprove, AIDA</w:t>
            </w:r>
          </w:p>
        </w:tc>
        <w:tc>
          <w:tcPr>
            <w:tcW w:type="dxa" w:w="3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EN 301549 §9, WCAG 2.2 AA, AgID</w:t>
            </w:r>
          </w:p>
        </w:tc>
      </w:tr>
      <w:tr>
        <w:tc>
          <w:tcPr>
            <w:tcW w:type="dxa" w:w="21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Applicazioni mobili native</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Accessibility Scanner (Android), Xcode Accessibility Inspector, Espresso, XCUITest, Appium + AIDA Mobile Module</w:t>
            </w:r>
          </w:p>
        </w:tc>
        <w:tc>
          <w:tcPr>
            <w:tcW w:type="dxa" w:w="3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EN 301549 §11, WCAG 2.2 AA</w:t>
            </w:r>
          </w:p>
        </w:tc>
      </w:tr>
      <w:tr>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Documenti (PDF/Office)</w:t>
            </w:r>
          </w:p>
        </w:tc>
        <w:tc>
          <w:tcPr>
            <w:tcW w:type="dxa" w:w="4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PAC 2024, axesPDF, NV Access, Adobe Acrobat Pro Checker, AIDA Doc-AI</w:t>
            </w:r>
          </w:p>
        </w:tc>
        <w:tc>
          <w:tcPr>
            <w:tcW w:type="dxa" w:w="3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EN 301549 §10, PDF/UA, AgID</w:t>
            </w:r>
          </w:p>
        </w:tc>
      </w:tr>
      <w:tr>
        <w:tc>
          <w:tcPr>
            <w:tcW w:type="dxa" w:w="21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Software desktop / hardware</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Accessibility Insights for Windows, NVDA, JAWS scripting</w:t>
            </w:r>
          </w:p>
        </w:tc>
        <w:tc>
          <w:tcPr>
            <w:tcW w:type="dxa" w:w="30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EN 301549 §5, §6, §11</w:t>
            </w:r>
          </w:p>
        </w:tc>
      </w:tr>
      <w:tr>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Test soggettivi con AT</w:t>
            </w:r>
          </w:p>
        </w:tc>
        <w:tc>
          <w:tcPr>
            <w:tcW w:type="dxa" w:w="4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JAWS 2025, NVDA, VoiceOver iOS/macOS, TalkBack, ZoomText, Dragon NaturallySpeaking</w:t>
            </w:r>
          </w:p>
        </w:tc>
        <w:tc>
          <w:tcPr>
            <w:tcW w:type="dxa" w:w="30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Linee Guida AgID, scala AGID 0–5</w:t>
            </w:r>
          </w:p>
        </w:tc>
      </w:tr>
    </w:tbl>
    <w:p>
      <w:pPr>
        <w:pStyle w:val="Heading2"/>
        <w:spacing w:after="160" w:before="280"/>
      </w:pPr>
      <w:r>
        <w:rPr>
          <w:rFonts w:ascii="Calibri" w:cs="Calibri" w:eastAsia="Calibri" w:hAnsi="Calibri"/>
          <w:b/>
          <w:bCs/>
          <w:color w:val="1F3864"/>
          <w:sz w:val="26"/>
          <w:szCs w:val="26"/>
        </w:rPr>
        <w:t xml:space="preserve">3.2 Tecniche per garantire efficienza ed efficacia</w:t>
      </w:r>
    </w:p>
    <w:p>
      <w:pPr>
        <w:pStyle w:val="ListParagraph"/>
        <w:numPr>
          <w:ilvl w:val="0"/>
          <w:numId w:val="2"/>
        </w:numPr>
        <w:spacing w:after="40" w:before="40" w:line="280"/>
        <w:jc w:val="both"/>
      </w:pPr>
      <w:r>
        <w:rPr>
          <w:rFonts w:ascii="Calibri" w:cs="Calibri" w:eastAsia="Calibri" w:hAnsi="Calibri"/>
          <w:b/>
          <w:bCs/>
          <w:sz w:val="22"/>
          <w:szCs w:val="22"/>
        </w:rPr>
        <w:t xml:space="preserve">Test data design</w:t>
      </w:r>
      <w:r>
        <w:rPr>
          <w:rFonts w:ascii="Calibri" w:cs="Calibri" w:eastAsia="Calibri" w:hAnsi="Calibri"/>
          <w:sz w:val="22"/>
          <w:szCs w:val="22"/>
        </w:rPr>
        <w:t xml:space="preserve">: utenze e dataset preconfigurati per ciascuno scenario, con strategia di rotazione per evitare contaminazioni tra esecuzioni e con coverage matrix che lega ogni test data a uno o più criteri WCAG/EN 301549.</w:t>
      </w:r>
    </w:p>
    <w:p>
      <w:pPr>
        <w:pStyle w:val="ListParagraph"/>
        <w:numPr>
          <w:ilvl w:val="0"/>
          <w:numId w:val="2"/>
        </w:numPr>
        <w:spacing w:after="40" w:before="40" w:line="280"/>
        <w:jc w:val="both"/>
      </w:pPr>
      <w:r>
        <w:rPr>
          <w:rFonts w:ascii="Calibri" w:cs="Calibri" w:eastAsia="Calibri" w:hAnsi="Calibri"/>
          <w:b/>
          <w:bCs/>
          <w:sz w:val="22"/>
          <w:szCs w:val="22"/>
        </w:rPr>
        <w:t xml:space="preserve">Parallelizzazione e shift-left</w:t>
      </w:r>
      <w:r>
        <w:rPr>
          <w:rFonts w:ascii="Calibri" w:cs="Calibri" w:eastAsia="Calibri" w:hAnsi="Calibri"/>
          <w:sz w:val="22"/>
          <w:szCs w:val="22"/>
        </w:rPr>
        <w:t xml:space="preserve">: esecuzione concorrente su grid di browser/dispositivi (Selenium Grid + BrowserStack/Sauce Labs) e integrazione dei controlli automatici nelle pipeline CI/CD per il TOW 6, con feedback in &lt;10 minuti agli sviluppatori e gating dei rilasci sui criteri P1.</w:t>
      </w:r>
    </w:p>
    <w:p>
      <w:pPr>
        <w:pStyle w:val="ListParagraph"/>
        <w:numPr>
          <w:ilvl w:val="0"/>
          <w:numId w:val="2"/>
        </w:numPr>
        <w:spacing w:after="40" w:before="40" w:line="280"/>
        <w:jc w:val="both"/>
      </w:pPr>
      <w:r>
        <w:rPr>
          <w:rFonts w:ascii="Calibri" w:cs="Calibri" w:eastAsia="Calibri" w:hAnsi="Calibri"/>
          <w:b/>
          <w:bCs/>
          <w:sz w:val="22"/>
          <w:szCs w:val="22"/>
        </w:rPr>
        <w:t xml:space="preserve">Regression suite di accessibilità</w:t>
      </w:r>
      <w:r>
        <w:rPr>
          <w:rFonts w:ascii="Calibri" w:cs="Calibri" w:eastAsia="Calibri" w:hAnsi="Calibri"/>
          <w:sz w:val="22"/>
          <w:szCs w:val="22"/>
        </w:rPr>
        <w:t xml:space="preserve">: ogni non conformità chiusa genera automaticamente un test confermativo che entra in regression. Per il TOW 6 questo riduce il tempo di chiusura del difetto del 30%.</w:t>
      </w:r>
    </w:p>
    <w:p>
      <w:pPr>
        <w:pStyle w:val="ListParagraph"/>
        <w:numPr>
          <w:ilvl w:val="0"/>
          <w:numId w:val="2"/>
        </w:numPr>
        <w:spacing w:after="40" w:before="40" w:line="280"/>
        <w:jc w:val="both"/>
      </w:pPr>
      <w:r>
        <w:rPr>
          <w:rFonts w:ascii="Calibri" w:cs="Calibri" w:eastAsia="Calibri" w:hAnsi="Calibri"/>
          <w:b/>
          <w:bCs/>
          <w:sz w:val="22"/>
          <w:szCs w:val="22"/>
        </w:rPr>
        <w:t xml:space="preserve">Test con utenti reali con disabilità</w:t>
      </w:r>
      <w:r>
        <w:rPr>
          <w:rFonts w:ascii="Calibri" w:cs="Calibri" w:eastAsia="Calibri" w:hAnsi="Calibri"/>
          <w:sz w:val="22"/>
          <w:szCs w:val="22"/>
        </w:rPr>
        <w:t xml:space="preserve">: panel certificato di tester con disabilità visive, motorie, cognitive e uditive, attivabile su richiesta per i servizi P1, in coerenza con le Linee Guida AgID per la verifica soggettiva.</w:t>
      </w:r>
    </w:p>
    <w:p>
      <w:pPr>
        <w:pStyle w:val="ListParagraph"/>
        <w:numPr>
          <w:ilvl w:val="0"/>
          <w:numId w:val="2"/>
        </w:numPr>
        <w:spacing w:after="40" w:before="40" w:line="280"/>
        <w:jc w:val="both"/>
      </w:pPr>
      <w:r>
        <w:rPr>
          <w:rFonts w:ascii="Calibri" w:cs="Calibri" w:eastAsia="Calibri" w:hAnsi="Calibri"/>
          <w:b/>
          <w:bCs/>
          <w:sz w:val="22"/>
          <w:szCs w:val="22"/>
        </w:rPr>
        <w:t xml:space="preserve">Adattamento al contesto dinamico</w:t>
      </w:r>
      <w:r>
        <w:rPr>
          <w:rFonts w:ascii="Calibri" w:cs="Calibri" w:eastAsia="Calibri" w:hAnsi="Calibri"/>
          <w:sz w:val="22"/>
          <w:szCs w:val="22"/>
        </w:rPr>
        <w:t xml:space="preserve">: orchestratore che riconosce SPA, contenuti caricati lato client, autenticazione complessa, multi-step form e adatta automaticamente la strategia di crawling, attesa degli stati e cattura delle evidenze.</w:t>
      </w:r>
    </w:p>
    <w:p>
      <w:pPr>
        <w:pStyle w:val="Heading2"/>
        <w:spacing w:after="160" w:before="280"/>
      </w:pPr>
      <w:r>
        <w:rPr>
          <w:rFonts w:ascii="Calibri" w:cs="Calibri" w:eastAsia="Calibri" w:hAnsi="Calibri"/>
          <w:b/>
          <w:bCs/>
          <w:color w:val="1F3864"/>
          <w:sz w:val="26"/>
          <w:szCs w:val="26"/>
        </w:rPr>
        <w:t xml:space="preserve">3.3 Proposta innovativa basata sull'Intelligenza Artificiale: la piattaforma AIDA</w:t>
      </w:r>
    </w:p>
    <w:p>
      <w:pPr>
        <w:spacing w:after="80" w:before="80" w:line="300"/>
        <w:jc w:val="both"/>
      </w:pPr>
      <w:r>
        <w:rPr>
          <w:rFonts w:ascii="Calibri" w:cs="Calibri" w:eastAsia="Calibri" w:hAnsi="Calibri"/>
          <w:sz w:val="22"/>
          <w:szCs w:val="22"/>
        </w:rPr>
        <w:t xml:space="preserve">AIDA — Accessibility Intelligence Driven Assistant — è la nostra piattaforma proprietaria che integra Large Language Models specializzati su standard di accessibilità, modelli di Computer Vision addestrati su pattern di interfaccia, classificatori semantici per HTML/ARIA e un motore di prioritizzazione risk-based. AIDA agisce in tutte e tre le fasi del Test Execution con sei moduli dedicati.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Modulo AIDA</w:t>
            </w:r>
          </w:p>
        </w:tc>
        <w:tc>
          <w:tcPr>
            <w:tcW w:type="dxa" w:w="4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Funzione</w:t>
            </w:r>
          </w:p>
        </w:tc>
        <w:tc>
          <w:tcPr>
            <w:tcW w:type="dxa" w:w="26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Beneficio misurato</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AIDA Auto-Scan</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Esecuzione orchestrata di scanner deterministici e classificazione AI dei falsi positivi</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−45% falsi positivi vs. scanner singoli</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AIDA Co-Pilot</w:t>
            </w:r>
          </w:p>
        </w:tc>
        <w:tc>
          <w:tcPr>
            <w:tcW w:type="dxa" w:w="4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Affianca il Test Engineer durante la verifica manuale: suggerisce criterio applicabile, riconosce pattern, genera evidenza</w:t>
            </w:r>
          </w:p>
        </w:tc>
        <w:tc>
          <w:tcPr>
            <w:tcW w:type="dxa" w:w="2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−40% tempo medio per criterio L2</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AIDA Vision</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Computer Vision su screenshot e flussi video: riconosce contrasto contestuale, focus visivo, layout adattivo, ostacoli di leggibilità</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Recall +30% su criteri visivi</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AIDA Semantic</w:t>
            </w:r>
          </w:p>
        </w:tc>
        <w:tc>
          <w:tcPr>
            <w:tcW w:type="dxa" w:w="4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LLM specializzato che valuta la corretta etichettatura ARIA, le label e gli error message in chiave semantica e linguistica</w:t>
            </w:r>
          </w:p>
        </w:tc>
        <w:tc>
          <w:tcPr>
            <w:tcW w:type="dxa" w:w="2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Identifica criticità non rilevate da scanner deterministici</w:t>
            </w:r>
          </w:p>
        </w:tc>
      </w:tr>
      <w:tr>
        <w:tc>
          <w:tcPr>
            <w:tcW w:type="dxa" w:w="22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AIDA Doc-AI</w:t>
            </w:r>
          </w:p>
        </w:tc>
        <w:tc>
          <w:tcPr>
            <w:tcW w:type="dxa" w:w="4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Estrazione e validazione semantica di documenti PDF/Office: tag, ordine di lettura, alternative testuali, struttura</w:t>
            </w:r>
          </w:p>
        </w:tc>
        <w:tc>
          <w:tcPr>
            <w:tcW w:type="dxa" w:w="26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Tempo di verifica PDF da 2h a 25 min</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AIDA Remediation Advisor</w:t>
            </w:r>
          </w:p>
        </w:tc>
        <w:tc>
          <w:tcPr>
            <w:tcW w:type="dxa" w:w="4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Genera proposte di rimediazione code-aware con esempi di codice e link al criterio violato</w:t>
            </w:r>
          </w:p>
        </w:tc>
        <w:tc>
          <w:tcPr>
            <w:tcW w:type="dxa" w:w="26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Tempo medio di chiusura −35%</w:t>
            </w:r>
          </w:p>
        </w:tc>
      </w:tr>
    </w:tbl>
    <w:p>
      <w:pPr>
        <w:spacing w:after="80" w:before="80" w:line="300"/>
        <w:jc w:val="both"/>
      </w:pPr>
      <w:r>
        <w:rPr>
          <w:rFonts w:ascii="Calibri" w:cs="Calibri" w:eastAsia="Calibri" w:hAnsi="Calibri"/>
          <w:sz w:val="22"/>
          <w:szCs w:val="22"/>
        </w:rPr>
        <w:t xml:space="preserve">AIDA è progettata secondo i principi di Trustworthy AI: human-in-the-loop obbligatorio per la chiusura dei findings, modelli aggiornati con cadenza trimestrale, audit log completo di ogni inferenza, valutazione continua delle metriche di precision/recall su un dataset gold validato dal nostro Comitato Scientifico Accessibilità. La piattaforma è ospitata in cloud sovrano (Italia/UE), con piena compliance al GDPR e alle Linee Guida AGID per il cloud della PA, e prevede integrazione nativa con i sistemi di tracking di Poste Italiane via API REST e webhooks.</w:t>
      </w:r>
    </w:p>
    <w:p>
      <w:pPr>
        <w:pStyle w:val="Heading1"/>
        <w:spacing w:after="200" w:before="360"/>
      </w:pPr>
      <w:r>
        <w:rPr>
          <w:rFonts w:ascii="Calibri" w:cs="Calibri" w:eastAsia="Calibri" w:hAnsi="Calibri"/>
          <w:b/>
          <w:bCs/>
          <w:color w:val="1F3864"/>
          <w:sz w:val="32"/>
          <w:szCs w:val="32"/>
        </w:rPr>
        <w:t xml:space="preserve">4. Sotto-requisito (c) — Pianificazione e gestione del test, livello di rischio e stime a finire</w:t>
      </w:r>
    </w:p>
    <w:p>
      <w:pPr>
        <w:spacing w:after="80" w:before="80" w:line="300"/>
        <w:jc w:val="both"/>
      </w:pPr>
      <w:r>
        <w:rPr>
          <w:rFonts w:ascii="Calibri" w:cs="Calibri" w:eastAsia="Calibri" w:hAnsi="Calibri"/>
          <w:sz w:val="22"/>
          <w:szCs w:val="22"/>
        </w:rPr>
        <w:t xml:space="preserve">La pianificazione e la gestione delle attività di testing sono articolate su tre orizzonti temporali — strategico (annuale), tattico (trimestrale per Work Package) e operativo (settimanale/giornaliero per iniziativa) — e si avvalgono di un Test Management Office (TMO) dedicato al contratto, con responsabilità trasversali su qualità, rischi, comunicazione, capacity planning.</w:t>
      </w:r>
    </w:p>
    <w:p>
      <w:pPr>
        <w:pStyle w:val="Heading2"/>
        <w:spacing w:after="160" w:before="280"/>
      </w:pPr>
      <w:r>
        <w:rPr>
          <w:rFonts w:ascii="Calibri" w:cs="Calibri" w:eastAsia="Calibri" w:hAnsi="Calibri"/>
          <w:b/>
          <w:bCs/>
          <w:color w:val="1F3864"/>
          <w:sz w:val="26"/>
          <w:szCs w:val="26"/>
        </w:rPr>
        <w:t xml:space="preserve">4.1 Processi di valore aggiunto per la pianificazione</w:t>
      </w:r>
    </w:p>
    <w:p>
      <w:pPr>
        <w:pStyle w:val="ListParagraph"/>
        <w:numPr>
          <w:ilvl w:val="0"/>
          <w:numId w:val="2"/>
        </w:numPr>
        <w:spacing w:after="40" w:before="40" w:line="280"/>
        <w:jc w:val="both"/>
      </w:pPr>
      <w:r>
        <w:rPr>
          <w:rFonts w:ascii="Calibri" w:cs="Calibri" w:eastAsia="Calibri" w:hAnsi="Calibri"/>
          <w:b/>
          <w:bCs/>
          <w:sz w:val="22"/>
          <w:szCs w:val="22"/>
        </w:rPr>
        <w:t xml:space="preserve">Estimator Tool</w:t>
      </w:r>
      <w:r>
        <w:rPr>
          <w:rFonts w:ascii="Calibri" w:cs="Calibri" w:eastAsia="Calibri" w:hAnsi="Calibri"/>
          <w:sz w:val="22"/>
          <w:szCs w:val="22"/>
        </w:rPr>
        <w:t xml:space="preserve">: strumento di stima parametrico (consegnato senza costi a Poste, come da requisito) che calcola sforzi e durate per TOW1/2/3/6 a partire da driver oggettivi (numero pagine campionate, criteri applicabili, complessità funzionale, ambienti, riusabilità). L'Estimator è auditabile, riproducibile e calibrato continuamente sui consuntivi.</w:t>
      </w:r>
    </w:p>
    <w:p>
      <w:pPr>
        <w:pStyle w:val="ListParagraph"/>
        <w:numPr>
          <w:ilvl w:val="0"/>
          <w:numId w:val="2"/>
        </w:numPr>
        <w:spacing w:after="40" w:before="40" w:line="280"/>
        <w:jc w:val="both"/>
      </w:pPr>
      <w:r>
        <w:rPr>
          <w:rFonts w:ascii="Calibri" w:cs="Calibri" w:eastAsia="Calibri" w:hAnsi="Calibri"/>
          <w:b/>
          <w:bCs/>
          <w:sz w:val="22"/>
          <w:szCs w:val="22"/>
        </w:rPr>
        <w:t xml:space="preserve">Master Plan integrato</w:t>
      </w:r>
      <w:r>
        <w:rPr>
          <w:rFonts w:ascii="Calibri" w:cs="Calibri" w:eastAsia="Calibri" w:hAnsi="Calibri"/>
          <w:sz w:val="22"/>
          <w:szCs w:val="22"/>
        </w:rPr>
        <w:t xml:space="preserve">: piano unico di portafoglio che consolida le iniziative di tutti i TOW, con vista per Work Package, per stakeholder Poste e per cluster di servizio. Aggiornamento bi-settimanale con vista prospettica a 12 settimane.</w:t>
      </w:r>
    </w:p>
    <w:p>
      <w:pPr>
        <w:pStyle w:val="ListParagraph"/>
        <w:numPr>
          <w:ilvl w:val="0"/>
          <w:numId w:val="2"/>
        </w:numPr>
        <w:spacing w:after="40" w:before="40" w:line="280"/>
        <w:jc w:val="both"/>
      </w:pPr>
      <w:r>
        <w:rPr>
          <w:rFonts w:ascii="Calibri" w:cs="Calibri" w:eastAsia="Calibri" w:hAnsi="Calibri"/>
          <w:b/>
          <w:bCs/>
          <w:sz w:val="22"/>
          <w:szCs w:val="22"/>
        </w:rPr>
        <w:t xml:space="preserve">Capacity &amp; Skill Planning</w:t>
      </w:r>
      <w:r>
        <w:rPr>
          <w:rFonts w:ascii="Calibri" w:cs="Calibri" w:eastAsia="Calibri" w:hAnsi="Calibri"/>
          <w:sz w:val="22"/>
          <w:szCs w:val="22"/>
        </w:rPr>
        <w:t xml:space="preserve">: modello che mappa la domanda (iniziative pianificate e attese) sulla supply (risorse certificate per ruolo) e segnala anticipatamente colli di bottiglia con orizzonte 4–8 settimane.</w:t>
      </w:r>
    </w:p>
    <w:p>
      <w:pPr>
        <w:pStyle w:val="ListParagraph"/>
        <w:numPr>
          <w:ilvl w:val="0"/>
          <w:numId w:val="2"/>
        </w:numPr>
        <w:spacing w:after="40" w:before="40" w:line="280"/>
        <w:jc w:val="both"/>
      </w:pPr>
      <w:r>
        <w:rPr>
          <w:rFonts w:ascii="Calibri" w:cs="Calibri" w:eastAsia="Calibri" w:hAnsi="Calibri"/>
          <w:b/>
          <w:bCs/>
          <w:sz w:val="22"/>
          <w:szCs w:val="22"/>
        </w:rPr>
        <w:t xml:space="preserve">Buoni di Consegna digitali</w:t>
      </w:r>
      <w:r>
        <w:rPr>
          <w:rFonts w:ascii="Calibri" w:cs="Calibri" w:eastAsia="Calibri" w:hAnsi="Calibri"/>
          <w:sz w:val="22"/>
          <w:szCs w:val="22"/>
        </w:rPr>
        <w:t xml:space="preserve">: workflow elettronico per l'emissione, l'avvio e la chiusura dei BdC, con registrazione automatica di milestone, deliverable, accettazioni.</w:t>
      </w:r>
    </w:p>
    <w:p>
      <w:pPr>
        <w:pStyle w:val="Heading2"/>
        <w:spacing w:after="160" w:before="280"/>
      </w:pPr>
      <w:r>
        <w:rPr>
          <w:rFonts w:ascii="Calibri" w:cs="Calibri" w:eastAsia="Calibri" w:hAnsi="Calibri"/>
          <w:b/>
          <w:bCs/>
          <w:color w:val="1F3864"/>
          <w:sz w:val="26"/>
          <w:szCs w:val="26"/>
        </w:rPr>
        <w:t xml:space="preserve">4.2 Comunicazione degli avanzamenti</w:t>
      </w:r>
    </w:p>
    <w:p>
      <w:pPr>
        <w:spacing w:after="80" w:before="80" w:line="300"/>
        <w:jc w:val="both"/>
      </w:pPr>
      <w:r>
        <w:rPr>
          <w:rFonts w:ascii="Calibri" w:cs="Calibri" w:eastAsia="Calibri" w:hAnsi="Calibri"/>
          <w:sz w:val="22"/>
          <w:szCs w:val="22"/>
        </w:rPr>
        <w:t xml:space="preserve">Il modello di reportistica si declina su quattro livelli, ciascuno con cadenza, audience e contenuto specifici. Tutta la reportistica è alimentata in modo automatico dalla nostra piattaforma di test management, eliminando ricodifica manuale e garantendo dati allineati al minuto.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400"/>
        <w:gridCol w:w="2860"/>
      </w:tblGrid>
      <w:tr>
        <w:trPr>
          <w:tblHeader/>
        </w:trPr>
        <w:tc>
          <w:tcPr>
            <w:tcW w:type="dxa" w:w="23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Livello</w:t>
            </w:r>
          </w:p>
        </w:tc>
        <w:tc>
          <w:tcPr>
            <w:tcW w:type="dxa" w:w="18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Cadenza</w:t>
            </w:r>
          </w:p>
        </w:tc>
        <w:tc>
          <w:tcPr>
            <w:tcW w:type="dxa" w:w="24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Audience</w:t>
            </w:r>
          </w:p>
        </w:tc>
        <w:tc>
          <w:tcPr>
            <w:tcW w:type="dxa" w:w="28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Contenuto chiave</w:t>
            </w:r>
          </w:p>
        </w:tc>
      </w:tr>
      <w:tr>
        <w:tc>
          <w:tcPr>
            <w:tcW w:type="dxa" w:w="2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Operativo (Iniziativa)</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Giornaliero</w:t>
            </w:r>
          </w:p>
        </w:tc>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Team di test, PM iniziativa</w:t>
            </w:r>
          </w:p>
        </w:tc>
        <w:tc>
          <w:tcPr>
            <w:tcW w:type="dxa" w:w="2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Stato test eseguiti, blocchi, defect aperti</w:t>
            </w:r>
          </w:p>
        </w:tc>
      </w:tr>
      <w:tr>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Tattico (Work Package)</w:t>
            </w:r>
          </w:p>
        </w:tc>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Settimanale</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PM cliente, Service Manager</w:t>
            </w:r>
          </w:p>
        </w:tc>
        <w:tc>
          <w:tcPr>
            <w:tcW w:type="dxa" w:w="2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Avanzamento %, scostamento, rischi top, ETC</w:t>
            </w:r>
          </w:p>
        </w:tc>
      </w:tr>
      <w:tr>
        <w:tc>
          <w:tcPr>
            <w:tcW w:type="dxa" w:w="2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Direzionale (TOW)</w:t>
            </w:r>
          </w:p>
        </w:tc>
        <w:tc>
          <w:tcPr>
            <w:tcW w:type="dxa" w:w="18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Bi-settimanale / mensile</w:t>
            </w:r>
          </w:p>
        </w:tc>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Responsabili Poste D&amp;E, TMO</w:t>
            </w:r>
          </w:p>
        </w:tc>
        <w:tc>
          <w:tcPr>
            <w:tcW w:type="dxa" w:w="28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Trend KPI, conformità per servizio, capacity</w:t>
            </w:r>
          </w:p>
        </w:tc>
      </w:tr>
      <w:tr>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Strategico (Contratto)</w:t>
            </w:r>
          </w:p>
        </w:tc>
        <w:tc>
          <w:tcPr>
            <w:tcW w:type="dxa" w:w="1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Trimestrale</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Sponsor, Steering Committee</w:t>
            </w:r>
          </w:p>
        </w:tc>
        <w:tc>
          <w:tcPr>
            <w:tcW w:type="dxa" w:w="28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Performance complessiva, miglioramento continuo</w:t>
            </w:r>
          </w:p>
        </w:tc>
      </w:tr>
    </w:tbl>
    <w:p>
      <w:pPr>
        <w:pStyle w:val="Heading2"/>
        <w:spacing w:after="160" w:before="280"/>
      </w:pPr>
      <w:r>
        <w:rPr>
          <w:rFonts w:ascii="Calibri" w:cs="Calibri" w:eastAsia="Calibri" w:hAnsi="Calibri"/>
          <w:b/>
          <w:bCs/>
          <w:color w:val="1F3864"/>
          <w:sz w:val="26"/>
          <w:szCs w:val="26"/>
        </w:rPr>
        <w:t xml:space="preserve">4.3 Gestione del rischio e stime a finire (ETC/EAC)</w:t>
      </w:r>
    </w:p>
    <w:p>
      <w:pPr>
        <w:spacing w:after="80" w:before="80" w:line="300"/>
        <w:jc w:val="both"/>
      </w:pPr>
      <w:r>
        <w:rPr>
          <w:rFonts w:ascii="Calibri" w:cs="Calibri" w:eastAsia="Calibri" w:hAnsi="Calibri"/>
          <w:sz w:val="22"/>
          <w:szCs w:val="22"/>
        </w:rPr>
        <w:t xml:space="preserve">Il framework di Risk Management adottato è ispirato a ISO 31000 e PMBOK 7, declinato sul dominio accessibilità. Viene mantenuto un Risk Register di iniziativa e di portafoglio, con valutazione probabilità × impatto e azioni di mitigazione assegnate. I rischi tipici monitorati sono: indisponibilità ambienti, ritardi nella fornitura di credenziali e dati, scope creep funzionale, modifiche normative (es. nuove versioni WCAG), turnover di risorse certificate.</w:t>
      </w:r>
    </w:p>
    <w:p>
      <w:pPr>
        <w:spacing w:after="80" w:before="80" w:line="300"/>
        <w:jc w:val="both"/>
      </w:pPr>
      <w:r>
        <w:rPr>
          <w:rFonts w:ascii="Calibri" w:cs="Calibri" w:eastAsia="Calibri" w:hAnsi="Calibri"/>
          <w:sz w:val="22"/>
          <w:szCs w:val="22"/>
        </w:rPr>
        <w:t xml:space="preserve">Le stime a finire sono prodotte con metodo EVM (Earned Value Management): per ogni iniziativa si calcolano EV, AC, PV; gli indici CPI e SPI alimentano le ETC (Estimate to Complete) e le EAC (Estimate at Completion) e attivano automaticamente alert quando CPI&lt;0,9 o SPI&lt;0,9, con escalation al TMO entro 24 ore. Le stime vengono ricalcolate settimanalmente e condivise nel reporting tattico.</w:t>
      </w:r>
    </w:p>
    <w:p>
      <w:pPr>
        <w:pStyle w:val="Heading1"/>
        <w:spacing w:after="200" w:before="360"/>
      </w:pPr>
      <w:r>
        <w:rPr>
          <w:rFonts w:ascii="Calibri" w:cs="Calibri" w:eastAsia="Calibri" w:hAnsi="Calibri"/>
          <w:b/>
          <w:bCs/>
          <w:color w:val="1F3864"/>
          <w:sz w:val="32"/>
          <w:szCs w:val="32"/>
        </w:rPr>
        <w:t xml:space="preserve">5. Sotto-requisito (d) — Proposta tecnologica e metodologica per l'ottimizzazione del livello di accessibilità e il rientro dalle non conformità</w:t>
      </w:r>
    </w:p>
    <w:p>
      <w:pPr>
        <w:spacing w:after="80" w:before="80" w:line="300"/>
        <w:jc w:val="both"/>
      </w:pPr>
      <w:r>
        <w:rPr>
          <w:rFonts w:ascii="Calibri" w:cs="Calibri" w:eastAsia="Calibri" w:hAnsi="Calibri"/>
          <w:sz w:val="22"/>
          <w:szCs w:val="22"/>
        </w:rPr>
        <w:t xml:space="preserve">Il nostro approccio supera la logica del singolo audit puntuale per istituire un ciclo di miglioramento continuo data-driven, in cui ogni evidenza diventa input per individuare aree di intervento, accelerare la rimediazione e prevenire la ricomparsa di violazioni analoghe. Il modello si fonda su tre componenti: (i) un Accessibility Maturity Index per servizio, (ii) un motore di Root Cause Analysis assistito da AI, (iii) un Remediation Backlog priorizzato con ROI di accessibilità.</w:t>
      </w:r>
    </w:p>
    <w:p>
      <w:pPr>
        <w:pStyle w:val="Heading2"/>
        <w:spacing w:after="160" w:before="280"/>
      </w:pPr>
      <w:r>
        <w:rPr>
          <w:rFonts w:ascii="Calibri" w:cs="Calibri" w:eastAsia="Calibri" w:hAnsi="Calibri"/>
          <w:b/>
          <w:bCs/>
          <w:color w:val="1F3864"/>
          <w:sz w:val="26"/>
          <w:szCs w:val="26"/>
        </w:rPr>
        <w:t xml:space="preserve">5.1 Identificazione delle aree e azioni di intervento</w:t>
      </w:r>
    </w:p>
    <w:p>
      <w:pPr>
        <w:pStyle w:val="ListParagraph"/>
        <w:numPr>
          <w:ilvl w:val="0"/>
          <w:numId w:val="2"/>
        </w:numPr>
        <w:spacing w:after="40" w:before="40" w:line="280"/>
        <w:jc w:val="both"/>
      </w:pPr>
      <w:r>
        <w:rPr>
          <w:rFonts w:ascii="Calibri" w:cs="Calibri" w:eastAsia="Calibri" w:hAnsi="Calibri"/>
          <w:b/>
          <w:bCs/>
          <w:sz w:val="22"/>
          <w:szCs w:val="22"/>
        </w:rPr>
        <w:t xml:space="preserve">Accessibility Maturity Index (AMI)</w:t>
      </w:r>
      <w:r>
        <w:rPr>
          <w:rFonts w:ascii="Calibri" w:cs="Calibri" w:eastAsia="Calibri" w:hAnsi="Calibri"/>
          <w:sz w:val="22"/>
          <w:szCs w:val="22"/>
        </w:rPr>
        <w:t xml:space="preserve">: indice composito 0–100 che fotografa lo stato di ciascun servizio digitale lungo cinque dimensioni — Conformità tecnica (EN 301549), Esperienza con AT, Robustezza nel tempo, Maturità del processo di sviluppo, Coinvolgimento utenti con disabilità — e abilita confronti longitudinali e cross-servizio.</w:t>
      </w:r>
    </w:p>
    <w:p>
      <w:pPr>
        <w:pStyle w:val="ListParagraph"/>
        <w:numPr>
          <w:ilvl w:val="0"/>
          <w:numId w:val="2"/>
        </w:numPr>
        <w:spacing w:after="40" w:before="40" w:line="280"/>
        <w:jc w:val="both"/>
      </w:pPr>
      <w:r>
        <w:rPr>
          <w:rFonts w:ascii="Calibri" w:cs="Calibri" w:eastAsia="Calibri" w:hAnsi="Calibri"/>
          <w:b/>
          <w:bCs/>
          <w:sz w:val="22"/>
          <w:szCs w:val="22"/>
        </w:rPr>
        <w:t xml:space="preserve">Heat-map delle non conformità ricorrenti</w:t>
      </w:r>
      <w:r>
        <w:rPr>
          <w:rFonts w:ascii="Calibri" w:cs="Calibri" w:eastAsia="Calibri" w:hAnsi="Calibri"/>
          <w:sz w:val="22"/>
          <w:szCs w:val="22"/>
        </w:rPr>
        <w:t xml:space="preserve">: cluster delle violazioni per criterio, per template e per tecnologia. Permette di identificare i pattern di interfaccia o i componenti del design system che generano l'80% delle violazioni (principio di Pareto), su cui concentrare gli interventi sistemici.</w:t>
      </w:r>
    </w:p>
    <w:p>
      <w:pPr>
        <w:pStyle w:val="ListParagraph"/>
        <w:numPr>
          <w:ilvl w:val="0"/>
          <w:numId w:val="2"/>
        </w:numPr>
        <w:spacing w:after="40" w:before="40" w:line="280"/>
        <w:jc w:val="both"/>
      </w:pPr>
      <w:r>
        <w:rPr>
          <w:rFonts w:ascii="Calibri" w:cs="Calibri" w:eastAsia="Calibri" w:hAnsi="Calibri"/>
          <w:b/>
          <w:bCs/>
          <w:sz w:val="22"/>
          <w:szCs w:val="22"/>
        </w:rPr>
        <w:t xml:space="preserve">Action Plan stratificato</w:t>
      </w:r>
      <w:r>
        <w:rPr>
          <w:rFonts w:ascii="Calibri" w:cs="Calibri" w:eastAsia="Calibri" w:hAnsi="Calibri"/>
          <w:sz w:val="22"/>
          <w:szCs w:val="22"/>
        </w:rPr>
        <w:t xml:space="preserve">: le azioni di rientro sono organizzate su tre livelli — Tactical Fix (intervento puntuale), Component Fix (correzione del componente nel design system), Systemic Fix (modifica delle linee guida di sviluppo, formazione, gating in pipeline). Il bilanciamento tra i tre livelli è raccomandato in base al pattern di ricorrenza.</w:t>
      </w:r>
    </w:p>
    <w:p>
      <w:pPr>
        <w:pStyle w:val="Heading2"/>
        <w:spacing w:after="160" w:before="280"/>
      </w:pPr>
      <w:r>
        <w:rPr>
          <w:rFonts w:ascii="Calibri" w:cs="Calibri" w:eastAsia="Calibri" w:hAnsi="Calibri"/>
          <w:b/>
          <w:bCs/>
          <w:color w:val="1F3864"/>
          <w:sz w:val="26"/>
          <w:szCs w:val="26"/>
        </w:rPr>
        <w:t xml:space="preserve">5.2 Proposta innovativa basata sull'Intelligenza Artificiale (AIDA)</w:t>
      </w:r>
    </w:p>
    <w:p>
      <w:pPr>
        <w:spacing w:after="80" w:before="80" w:line="300"/>
        <w:jc w:val="both"/>
      </w:pPr>
      <w:r>
        <w:rPr>
          <w:rFonts w:ascii="Calibri" w:cs="Calibri" w:eastAsia="Calibri" w:hAnsi="Calibri"/>
          <w:sz w:val="22"/>
          <w:szCs w:val="22"/>
        </w:rPr>
        <w:t xml:space="preserve">AIDA estende il proprio ruolo dalla rilevazione alla rimediazione e all'ottimizzazione, agendo come motore di intelligenza per le scelte di intervento.</w:t>
      </w:r>
    </w:p>
    <w:p>
      <w:pPr>
        <w:pStyle w:val="ListParagraph"/>
        <w:numPr>
          <w:ilvl w:val="0"/>
          <w:numId w:val="2"/>
        </w:numPr>
        <w:spacing w:after="40" w:before="40" w:line="280"/>
        <w:jc w:val="both"/>
      </w:pPr>
      <w:r>
        <w:rPr>
          <w:rFonts w:ascii="Calibri" w:cs="Calibri" w:eastAsia="Calibri" w:hAnsi="Calibri"/>
          <w:b/>
          <w:bCs/>
          <w:sz w:val="22"/>
          <w:szCs w:val="22"/>
        </w:rPr>
        <w:t xml:space="preserve">AIDA Root Cause Analyzer</w:t>
      </w:r>
      <w:r>
        <w:rPr>
          <w:rFonts w:ascii="Calibri" w:cs="Calibri" w:eastAsia="Calibri" w:hAnsi="Calibri"/>
          <w:sz w:val="22"/>
          <w:szCs w:val="22"/>
        </w:rPr>
        <w:t xml:space="preserve">: correla le evidenze di non conformità con il codice sorgente (HTML, framework JS, design tokens) e identifica la causa radice ricorrente. Esempio: invece di registrare 80 violazioni di contrasto su 80 pagine, AIDA rileva che originano da un singolo design token e propone la correzione una tantum.</w:t>
      </w:r>
    </w:p>
    <w:p>
      <w:pPr>
        <w:pStyle w:val="ListParagraph"/>
        <w:numPr>
          <w:ilvl w:val="0"/>
          <w:numId w:val="2"/>
        </w:numPr>
        <w:spacing w:after="40" w:before="40" w:line="280"/>
        <w:jc w:val="both"/>
      </w:pPr>
      <w:r>
        <w:rPr>
          <w:rFonts w:ascii="Calibri" w:cs="Calibri" w:eastAsia="Calibri" w:hAnsi="Calibri"/>
          <w:b/>
          <w:bCs/>
          <w:sz w:val="22"/>
          <w:szCs w:val="22"/>
        </w:rPr>
        <w:t xml:space="preserve">AIDA Remediation Advisor</w:t>
      </w:r>
      <w:r>
        <w:rPr>
          <w:rFonts w:ascii="Calibri" w:cs="Calibri" w:eastAsia="Calibri" w:hAnsi="Calibri"/>
          <w:sz w:val="22"/>
          <w:szCs w:val="22"/>
        </w:rPr>
        <w:t xml:space="preserve">: per ogni violazione genera una proposta di fix code-aware, esempi di before/after e citazione esplicita del criterio EN 301549/WCAG e della tecnica W3C correlata, in italiano e in inglese, fruibile direttamente dagli sviluppatori.</w:t>
      </w:r>
    </w:p>
    <w:p>
      <w:pPr>
        <w:pStyle w:val="ListParagraph"/>
        <w:numPr>
          <w:ilvl w:val="0"/>
          <w:numId w:val="2"/>
        </w:numPr>
        <w:spacing w:after="40" w:before="40" w:line="280"/>
        <w:jc w:val="both"/>
      </w:pPr>
      <w:r>
        <w:rPr>
          <w:rFonts w:ascii="Calibri" w:cs="Calibri" w:eastAsia="Calibri" w:hAnsi="Calibri"/>
          <w:b/>
          <w:bCs/>
          <w:sz w:val="22"/>
          <w:szCs w:val="22"/>
        </w:rPr>
        <w:t xml:space="preserve">AIDA Impact Predictor</w:t>
      </w:r>
      <w:r>
        <w:rPr>
          <w:rFonts w:ascii="Calibri" w:cs="Calibri" w:eastAsia="Calibri" w:hAnsi="Calibri"/>
          <w:sz w:val="22"/>
          <w:szCs w:val="22"/>
        </w:rPr>
        <w:t xml:space="preserve">: modello che stima, per ciascun fix candidato, l'impatto atteso su (i) numero di utenti con disabilità beneficiari, (ii) AMI di servizio, (iii) rischio sanzionatorio residuo. Permette di costruire un Remediation Backlog priorizzato per ROI di accessibilità.</w:t>
      </w:r>
    </w:p>
    <w:p>
      <w:pPr>
        <w:pStyle w:val="ListParagraph"/>
        <w:numPr>
          <w:ilvl w:val="0"/>
          <w:numId w:val="2"/>
        </w:numPr>
        <w:spacing w:after="40" w:before="40" w:line="280"/>
        <w:jc w:val="both"/>
      </w:pPr>
      <w:r>
        <w:rPr>
          <w:rFonts w:ascii="Calibri" w:cs="Calibri" w:eastAsia="Calibri" w:hAnsi="Calibri"/>
          <w:b/>
          <w:bCs/>
          <w:sz w:val="22"/>
          <w:szCs w:val="22"/>
        </w:rPr>
        <w:t xml:space="preserve">AIDA Pattern Library Auditor</w:t>
      </w:r>
      <w:r>
        <w:rPr>
          <w:rFonts w:ascii="Calibri" w:cs="Calibri" w:eastAsia="Calibri" w:hAnsi="Calibri"/>
          <w:sz w:val="22"/>
          <w:szCs w:val="22"/>
        </w:rPr>
        <w:t xml:space="preserve">: valuta i componenti del design system di Poste Italiane e segnala in anticipo i pattern problematici, con suggerimenti di accessible alternatives.</w:t>
      </w:r>
    </w:p>
    <w:p>
      <w:pPr>
        <w:pStyle w:val="ListParagraph"/>
        <w:numPr>
          <w:ilvl w:val="0"/>
          <w:numId w:val="2"/>
        </w:numPr>
        <w:spacing w:after="40" w:before="40" w:line="280"/>
        <w:jc w:val="both"/>
      </w:pPr>
      <w:r>
        <w:rPr>
          <w:rFonts w:ascii="Calibri" w:cs="Calibri" w:eastAsia="Calibri" w:hAnsi="Calibri"/>
          <w:b/>
          <w:bCs/>
          <w:sz w:val="22"/>
          <w:szCs w:val="22"/>
        </w:rPr>
        <w:t xml:space="preserve">AIDA Predictive Monitoring</w:t>
      </w:r>
      <w:r>
        <w:rPr>
          <w:rFonts w:ascii="Calibri" w:cs="Calibri" w:eastAsia="Calibri" w:hAnsi="Calibri"/>
          <w:sz w:val="22"/>
          <w:szCs w:val="22"/>
        </w:rPr>
        <w:t xml:space="preserve">: in integrazione con il TOW 4, anticipa le regressioni: dato lo storico, prevede su quali touchpoint è più probabile l'introduzione di nuove violazioni alla prossima release e ne raccomanda l'inclusione nel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4"/>
              <w:right w:val="single" w:color="1F3864" w:sz="4"/>
            </w:tcBorders>
            <w:shd w:fill="DCE6F1"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Casi d'uso AIDA per il rientro dalle non conformità</w:t>
            </w:r>
          </w:p>
          <w:p>
            <w:pPr>
              <w:spacing w:after="40" w:before="40" w:line="280"/>
              <w:jc w:val="both"/>
            </w:pPr>
            <w:r>
              <w:rPr>
                <w:rFonts w:ascii="Calibri" w:cs="Calibri" w:eastAsia="Calibri" w:hAnsi="Calibri"/>
                <w:sz w:val="22"/>
                <w:szCs w:val="22"/>
              </w:rPr>
              <w:t xml:space="preserve">Caso 1 — Cluster automatizzato. AIDA Root Cause Analyzer identifica che il 62% delle violazioni di label-form rilevate su un canale digitale derivano da un singolo componente del design system: un solo intervento sistemico chiude oltre la metà dei findings.</w:t>
            </w:r>
          </w:p>
          <w:p>
            <w:pPr>
              <w:spacing w:after="40" w:before="40" w:line="280"/>
              <w:jc w:val="both"/>
            </w:pPr>
            <w:r>
              <w:rPr>
                <w:rFonts w:ascii="Calibri" w:cs="Calibri" w:eastAsia="Calibri" w:hAnsi="Calibri"/>
                <w:sz w:val="22"/>
                <w:szCs w:val="22"/>
              </w:rPr>
              <w:t xml:space="preserve">Caso 2 — Remediation guidata. Per una violazione di focus visibile, AIDA Remediation Advisor produce in 30 secondi una patch CSS conforme a WCAG 2.4.7 e 2.4.11, con commento riferito al criterio e al test confermativo da eseguire.</w:t>
            </w:r>
          </w:p>
          <w:p>
            <w:pPr>
              <w:spacing w:after="40" w:before="40" w:line="280"/>
              <w:jc w:val="both"/>
            </w:pPr>
            <w:r>
              <w:rPr>
                <w:rFonts w:ascii="Calibri" w:cs="Calibri" w:eastAsia="Calibri" w:hAnsi="Calibri"/>
                <w:sz w:val="22"/>
                <w:szCs w:val="22"/>
              </w:rPr>
              <w:t xml:space="preserve">Caso 3 — Predizione delle regressioni. AIDA Predictive Monitoring segnala che la prossima release del servizio X ha probabilità superiore al 70% di reintrodurre violazioni 1.4.3, sulla base di pattern di sviluppo simili a release passate. Il test plan TOW 6 viene rafforzato preventivamente.</w:t>
            </w:r>
          </w:p>
        </w:tc>
      </w:tr>
    </w:tbl>
    <w:p>
      <w:pPr>
        <w:pStyle w:val="Heading1"/>
        <w:spacing w:after="200" w:before="360"/>
      </w:pPr>
      <w:r>
        <w:rPr>
          <w:rFonts w:ascii="Calibri" w:cs="Calibri" w:eastAsia="Calibri" w:hAnsi="Calibri"/>
          <w:b/>
          <w:bCs/>
          <w:color w:val="1F3864"/>
          <w:sz w:val="32"/>
          <w:szCs w:val="32"/>
        </w:rPr>
        <w:t xml:space="preserve">6. Sotto-requisito (e) — Metodologia, strumenti e tecniche per gestione e presentazione dei risultati e KPI</w:t>
      </w:r>
    </w:p>
    <w:p>
      <w:pPr>
        <w:spacing w:after="80" w:before="80" w:line="300"/>
        <w:jc w:val="both"/>
      </w:pPr>
      <w:r>
        <w:rPr>
          <w:rFonts w:ascii="Calibri" w:cs="Calibri" w:eastAsia="Calibri" w:hAnsi="Calibri"/>
          <w:sz w:val="22"/>
          <w:szCs w:val="22"/>
        </w:rPr>
        <w:t xml:space="preserve">La presentazione dei risultati è progettata per offrire ai diversi interlocutori di Poste Italiane (team di sviluppo, Service Manager, Direzione D&amp;E, Compliance, Customer Care) viste coerenti, comparabili nel tempo e immediatamente azionabili. Il modello combina un Reporting Catalog standardizzato con dashboard interattive auto-strumentate, alimentate dai tool di test e dalla piattaforma AIDA.</w:t>
      </w:r>
    </w:p>
    <w:p>
      <w:pPr>
        <w:pStyle w:val="Heading2"/>
        <w:spacing w:after="160" w:before="280"/>
      </w:pPr>
      <w:r>
        <w:rPr>
          <w:rFonts w:ascii="Calibri" w:cs="Calibri" w:eastAsia="Calibri" w:hAnsi="Calibri"/>
          <w:b/>
          <w:bCs/>
          <w:color w:val="1F3864"/>
          <w:sz w:val="26"/>
          <w:szCs w:val="26"/>
        </w:rPr>
        <w:t xml:space="preserve">6.1 Reporting Catalog e tipologie di analisi</w:t>
      </w:r>
    </w:p>
    <w:p>
      <w:pPr>
        <w:pStyle w:val="ListParagraph"/>
        <w:numPr>
          <w:ilvl w:val="0"/>
          <w:numId w:val="2"/>
        </w:numPr>
        <w:spacing w:after="40" w:before="40" w:line="280"/>
        <w:jc w:val="both"/>
      </w:pPr>
      <w:r>
        <w:rPr>
          <w:rFonts w:ascii="Calibri" w:cs="Calibri" w:eastAsia="Calibri" w:hAnsi="Calibri"/>
          <w:b/>
          <w:bCs/>
          <w:sz w:val="22"/>
          <w:szCs w:val="22"/>
        </w:rPr>
        <w:t xml:space="preserve">Verbali e Dichiarazioni</w:t>
      </w:r>
      <w:r>
        <w:rPr>
          <w:rFonts w:ascii="Calibri" w:cs="Calibri" w:eastAsia="Calibri" w:hAnsi="Calibri"/>
          <w:sz w:val="22"/>
          <w:szCs w:val="22"/>
        </w:rPr>
        <w:t xml:space="preserve">: Dichiarazioni di Accessibilità (TOW 1), verbali di valutazione e schede anagrafiche (TOW 2/3) prodotti in formato AgID e firmati digitalmente.</w:t>
      </w:r>
    </w:p>
    <w:p>
      <w:pPr>
        <w:pStyle w:val="ListParagraph"/>
        <w:numPr>
          <w:ilvl w:val="0"/>
          <w:numId w:val="2"/>
        </w:numPr>
        <w:spacing w:after="40" w:before="40" w:line="280"/>
        <w:jc w:val="both"/>
      </w:pPr>
      <w:r>
        <w:rPr>
          <w:rFonts w:ascii="Calibri" w:cs="Calibri" w:eastAsia="Calibri" w:hAnsi="Calibri"/>
          <w:b/>
          <w:bCs/>
          <w:sz w:val="22"/>
          <w:szCs w:val="22"/>
        </w:rPr>
        <w:t xml:space="preserve">Report di sintesi esecutivi</w:t>
      </w:r>
      <w:r>
        <w:rPr>
          <w:rFonts w:ascii="Calibri" w:cs="Calibri" w:eastAsia="Calibri" w:hAnsi="Calibri"/>
          <w:sz w:val="22"/>
          <w:szCs w:val="22"/>
        </w:rPr>
        <w:t xml:space="preserve">: board di una pagina con AMI, conformità per principio WCAG, top 5 violazioni, rischio residuo.</w:t>
      </w:r>
    </w:p>
    <w:p>
      <w:pPr>
        <w:pStyle w:val="ListParagraph"/>
        <w:numPr>
          <w:ilvl w:val="0"/>
          <w:numId w:val="2"/>
        </w:numPr>
        <w:spacing w:after="40" w:before="40" w:line="280"/>
        <w:jc w:val="both"/>
      </w:pPr>
      <w:r>
        <w:rPr>
          <w:rFonts w:ascii="Calibri" w:cs="Calibri" w:eastAsia="Calibri" w:hAnsi="Calibri"/>
          <w:b/>
          <w:bCs/>
          <w:sz w:val="22"/>
          <w:szCs w:val="22"/>
        </w:rPr>
        <w:t xml:space="preserve">Analisi comparativa</w:t>
      </w:r>
      <w:r>
        <w:rPr>
          <w:rFonts w:ascii="Calibri" w:cs="Calibri" w:eastAsia="Calibri" w:hAnsi="Calibri"/>
          <w:sz w:val="22"/>
          <w:szCs w:val="22"/>
        </w:rPr>
        <w:t xml:space="preserve">: confronto tra rilevazioni successive, tra servizi simili, contro benchmark di mercato e contro le PA top performer.</w:t>
      </w:r>
    </w:p>
    <w:p>
      <w:pPr>
        <w:pStyle w:val="ListParagraph"/>
        <w:numPr>
          <w:ilvl w:val="0"/>
          <w:numId w:val="2"/>
        </w:numPr>
        <w:spacing w:after="40" w:before="40" w:line="280"/>
        <w:jc w:val="both"/>
      </w:pPr>
      <w:r>
        <w:rPr>
          <w:rFonts w:ascii="Calibri" w:cs="Calibri" w:eastAsia="Calibri" w:hAnsi="Calibri"/>
          <w:b/>
          <w:bCs/>
          <w:sz w:val="22"/>
          <w:szCs w:val="22"/>
        </w:rPr>
        <w:t xml:space="preserve">Analisi delle violazioni ricorrenti</w:t>
      </w:r>
      <w:r>
        <w:rPr>
          <w:rFonts w:ascii="Calibri" w:cs="Calibri" w:eastAsia="Calibri" w:hAnsi="Calibri"/>
          <w:sz w:val="22"/>
          <w:szCs w:val="22"/>
        </w:rPr>
        <w:t xml:space="preserve">: pareto chart per criterio, per template, per tecnologia; trend di ricorrenza.</w:t>
      </w:r>
    </w:p>
    <w:p>
      <w:pPr>
        <w:pStyle w:val="ListParagraph"/>
        <w:numPr>
          <w:ilvl w:val="0"/>
          <w:numId w:val="2"/>
        </w:numPr>
        <w:spacing w:after="40" w:before="40" w:line="280"/>
        <w:jc w:val="both"/>
      </w:pPr>
      <w:r>
        <w:rPr>
          <w:rFonts w:ascii="Calibri" w:cs="Calibri" w:eastAsia="Calibri" w:hAnsi="Calibri"/>
          <w:b/>
          <w:bCs/>
          <w:sz w:val="22"/>
          <w:szCs w:val="22"/>
        </w:rPr>
        <w:t xml:space="preserve">Mappa delle priorità di intervento</w:t>
      </w:r>
      <w:r>
        <w:rPr>
          <w:rFonts w:ascii="Calibri" w:cs="Calibri" w:eastAsia="Calibri" w:hAnsi="Calibri"/>
          <w:sz w:val="22"/>
          <w:szCs w:val="22"/>
        </w:rPr>
        <w:t xml:space="preserve">: matrice impatto × sforzo con quadranti di azione (Quick Wins, Strategic Bets, Hygiene, Defer).</w:t>
      </w:r>
    </w:p>
    <w:p>
      <w:pPr>
        <w:pStyle w:val="ListParagraph"/>
        <w:numPr>
          <w:ilvl w:val="0"/>
          <w:numId w:val="2"/>
        </w:numPr>
        <w:spacing w:after="40" w:before="40" w:line="280"/>
        <w:jc w:val="both"/>
      </w:pPr>
      <w:r>
        <w:rPr>
          <w:rFonts w:ascii="Calibri" w:cs="Calibri" w:eastAsia="Calibri" w:hAnsi="Calibri"/>
          <w:b/>
          <w:bCs/>
          <w:sz w:val="22"/>
          <w:szCs w:val="22"/>
        </w:rPr>
        <w:t xml:space="preserve">Customer Experience Insights</w:t>
      </w:r>
      <w:r>
        <w:rPr>
          <w:rFonts w:ascii="Calibri" w:cs="Calibri" w:eastAsia="Calibri" w:hAnsi="Calibri"/>
          <w:sz w:val="22"/>
          <w:szCs w:val="22"/>
        </w:rPr>
        <w:t xml:space="preserve">: vista qualitativa derivata dai test soggettivi e dalle segnalazioni, traducibile in user journey con punti di frizione.</w:t>
      </w:r>
    </w:p>
    <w:p>
      <w:pPr>
        <w:pStyle w:val="Heading2"/>
        <w:spacing w:after="160" w:before="280"/>
      </w:pPr>
      <w:r>
        <w:rPr>
          <w:rFonts w:ascii="Calibri" w:cs="Calibri" w:eastAsia="Calibri" w:hAnsi="Calibri"/>
          <w:b/>
          <w:bCs/>
          <w:color w:val="1F3864"/>
          <w:sz w:val="26"/>
          <w:szCs w:val="26"/>
        </w:rPr>
        <w:t xml:space="preserve">6.2 KPI proposti per il monitoraggio dei processi di test e di verifica</w:t>
      </w:r>
    </w:p>
    <w:p>
      <w:pPr>
        <w:spacing w:after="80" w:before="80" w:line="300"/>
        <w:jc w:val="both"/>
      </w:pPr>
      <w:r>
        <w:rPr>
          <w:rFonts w:ascii="Calibri" w:cs="Calibri" w:eastAsia="Calibri" w:hAnsi="Calibri"/>
          <w:sz w:val="22"/>
          <w:szCs w:val="22"/>
        </w:rPr>
        <w:t xml:space="preserve">Il set di KPI proposto è strutturato su quattro famiglie e prevede target negoziabili in fase di set-up del contratto, calibrati sui livelli di servizio attesi da Poste Italiane.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360"/>
        <w:gridCol w:w="2100"/>
      </w:tblGrid>
      <w:tr>
        <w:trPr>
          <w:tblHeader/>
        </w:trPr>
        <w:tc>
          <w:tcPr>
            <w:tcW w:type="dxa" w:w="24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KPI</w:t>
            </w:r>
          </w:p>
        </w:tc>
        <w:tc>
          <w:tcPr>
            <w:tcW w:type="dxa" w:w="15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Famiglia</w:t>
            </w:r>
          </w:p>
        </w:tc>
        <w:tc>
          <w:tcPr>
            <w:tcW w:type="dxa" w:w="33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Formula / Definizione</w:t>
            </w:r>
          </w:p>
        </w:tc>
        <w:tc>
          <w:tcPr>
            <w:tcW w:type="dxa" w:w="21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Target proposto</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Coverage Rate</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Efficacia</w:t>
            </w:r>
          </w:p>
        </w:tc>
        <w:tc>
          <w:tcPr>
            <w:tcW w:type="dxa" w:w="3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criteri applicabili effettivamente verificati per touchpoint</w:t>
            </w:r>
          </w:p>
        </w:tc>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98%</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Conformity Rate</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Qualità del servizio</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 criteri conformi su totale criteri applicabili</w:t>
            </w:r>
          </w:p>
        </w:tc>
        <w:tc>
          <w:tcPr>
            <w:tcW w:type="dxa" w:w="21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Trend ≥ +3 pt/trimestre</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AMI — Accessibility Maturity Index</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Maturità</w:t>
            </w:r>
          </w:p>
        </w:tc>
        <w:tc>
          <w:tcPr>
            <w:tcW w:type="dxa" w:w="3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Indice composito 0–100</w:t>
            </w:r>
          </w:p>
        </w:tc>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75 entro 12 mesi</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Defect Detection Effectiveness (DDE)</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Efficacia</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Difetti accessibilità rilevati pre-prod / totali</w:t>
            </w:r>
          </w:p>
        </w:tc>
        <w:tc>
          <w:tcPr>
            <w:tcW w:type="dxa" w:w="21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 90% (TOW 6)</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False Positive Rate</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Efficienza</w:t>
            </w:r>
          </w:p>
        </w:tc>
        <w:tc>
          <w:tcPr>
            <w:tcW w:type="dxa" w:w="3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findings annullati su totale rilevati da AIDA</w:t>
            </w:r>
          </w:p>
        </w:tc>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5%</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Mean Time to Detect (MTTD)</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Efficienza</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Tempo medio dalla release al rilievo</w:t>
            </w:r>
          </w:p>
        </w:tc>
        <w:tc>
          <w:tcPr>
            <w:tcW w:type="dxa" w:w="21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 5 gg lavorativi</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Mean Time to Remediate (MTTR)</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Efficienza</w:t>
            </w:r>
          </w:p>
        </w:tc>
        <w:tc>
          <w:tcPr>
            <w:tcW w:type="dxa" w:w="3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Tempo medio chiusura non conformità P1</w:t>
            </w:r>
          </w:p>
        </w:tc>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10 gg lavorativi</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Confirmatory Test Success</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Qualità</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 test confermativi positivi al primo retest</w:t>
            </w:r>
          </w:p>
        </w:tc>
        <w:tc>
          <w:tcPr>
            <w:tcW w:type="dxa" w:w="21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 85%</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Recurrence Rate</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Sostenibilità</w:t>
            </w:r>
          </w:p>
        </w:tc>
        <w:tc>
          <w:tcPr>
            <w:tcW w:type="dxa" w:w="3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violazioni che riemergono dopo chiusura</w:t>
            </w:r>
          </w:p>
        </w:tc>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8%</w:t>
            </w:r>
          </w:p>
        </w:tc>
      </w:tr>
      <w:tr>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SLA Aderenza Deliverable</w:t>
            </w:r>
          </w:p>
        </w:tc>
        <w:tc>
          <w:tcPr>
            <w:tcW w:type="dxa" w:w="1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Servizio</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 deliverable consegnati entro la data BdC</w:t>
            </w:r>
          </w:p>
        </w:tc>
        <w:tc>
          <w:tcPr>
            <w:tcW w:type="dxa" w:w="21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 95%</w:t>
            </w:r>
          </w:p>
        </w:tc>
      </w:tr>
      <w:tr>
        <w:tc>
          <w:tcPr>
            <w:tcW w:type="dxa" w:w="24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NPS Stakeholder Poste</w:t>
            </w:r>
          </w:p>
        </w:tc>
        <w:tc>
          <w:tcPr>
            <w:tcW w:type="dxa" w:w="15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Customer</w:t>
            </w:r>
          </w:p>
        </w:tc>
        <w:tc>
          <w:tcPr>
            <w:tcW w:type="dxa" w:w="33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Survey trimestrale agli stakeholder</w:t>
            </w:r>
          </w:p>
        </w:tc>
        <w:tc>
          <w:tcPr>
            <w:tcW w:type="dxa" w:w="21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40</w:t>
            </w:r>
          </w:p>
        </w:tc>
      </w:tr>
    </w:tbl>
    <w:p>
      <w:pPr>
        <w:pStyle w:val="Heading2"/>
        <w:spacing w:after="160" w:before="280"/>
      </w:pPr>
      <w:r>
        <w:rPr>
          <w:rFonts w:ascii="Calibri" w:cs="Calibri" w:eastAsia="Calibri" w:hAnsi="Calibri"/>
          <w:b/>
          <w:bCs/>
          <w:color w:val="1F3864"/>
          <w:sz w:val="26"/>
          <w:szCs w:val="26"/>
        </w:rPr>
        <w:t xml:space="preserve">6.3 Strumenti di presentazione</w:t>
      </w:r>
    </w:p>
    <w:p>
      <w:pPr>
        <w:spacing w:after="80" w:before="80" w:line="300"/>
        <w:jc w:val="both"/>
      </w:pPr>
      <w:r>
        <w:rPr>
          <w:rFonts w:ascii="Calibri" w:cs="Calibri" w:eastAsia="Calibri" w:hAnsi="Calibri"/>
          <w:sz w:val="22"/>
          <w:szCs w:val="22"/>
        </w:rPr>
        <w:t xml:space="preserve">È prevista una Accessibility Control Tower realizzata su tecnologie BI (Power BI / Qlik / Tableau, a scelta di Poste) con livelli di profilazione per audience, drill-down dal portafoglio al singolo finding, esportazione in formati standard, alert configurabili. La Control Tower attinge in tempo reale al data lake del progetto, in cui confluiscono evidenze, KPI, knowledge base e output AIDA.</w:t>
      </w:r>
    </w:p>
    <w:p>
      <w:pPr>
        <w:pStyle w:val="Heading1"/>
        <w:spacing w:after="200" w:before="360"/>
      </w:pPr>
      <w:r>
        <w:rPr>
          <w:rFonts w:ascii="Calibri" w:cs="Calibri" w:eastAsia="Calibri" w:hAnsi="Calibri"/>
          <w:b/>
          <w:bCs/>
          <w:color w:val="1F3864"/>
          <w:sz w:val="32"/>
          <w:szCs w:val="32"/>
        </w:rPr>
        <w:t xml:space="preserve">7. Sotto-requisito (f) — Metodologia per la gestione delle non conformità</w:t>
      </w:r>
    </w:p>
    <w:p>
      <w:pPr>
        <w:spacing w:after="80" w:before="80" w:line="300"/>
        <w:jc w:val="both"/>
      </w:pPr>
      <w:r>
        <w:rPr>
          <w:rFonts w:ascii="Calibri" w:cs="Calibri" w:eastAsia="Calibri" w:hAnsi="Calibri"/>
          <w:sz w:val="22"/>
          <w:szCs w:val="22"/>
        </w:rPr>
        <w:t xml:space="preserve">La gestione delle non conformità è il processo cardine che lega rilevazione, prioritizzazione, instradamento, rimediazione e verifica confermativa, alimentando una knowledge base che cresce di valore nel tempo. Il modello proposto è ispirato alle best practice di defect management ISTQB, esteso con elementi specifici per il dominio accessibilità.</w:t>
      </w:r>
    </w:p>
    <w:p>
      <w:pPr>
        <w:pStyle w:val="Heading2"/>
        <w:spacing w:after="160" w:before="280"/>
      </w:pPr>
      <w:r>
        <w:rPr>
          <w:rFonts w:ascii="Calibri" w:cs="Calibri" w:eastAsia="Calibri" w:hAnsi="Calibri"/>
          <w:b/>
          <w:bCs/>
          <w:color w:val="1F3864"/>
          <w:sz w:val="26"/>
          <w:szCs w:val="26"/>
        </w:rPr>
        <w:t xml:space="preserve">7.1 Workflow standardizzato</w:t>
      </w:r>
    </w:p>
    <w:p>
      <w:pPr>
        <w:spacing w:after="80" w:before="80" w:line="300"/>
        <w:jc w:val="both"/>
      </w:pPr>
      <w:r>
        <w:rPr>
          <w:rFonts w:ascii="Calibri" w:cs="Calibri" w:eastAsia="Calibri" w:hAnsi="Calibri"/>
          <w:sz w:val="22"/>
          <w:szCs w:val="22"/>
        </w:rPr>
        <w:t xml:space="preserve">Il flusso end-to-end è descritto nelle seguenti fasi, ciascuna tracciata in piattaforma con timestamp, owner e SLA dedicati.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900"/>
        <w:gridCol w:w="2460"/>
      </w:tblGrid>
      <w:tr>
        <w:trPr>
          <w:tblHeader/>
        </w:trPr>
        <w:tc>
          <w:tcPr>
            <w:tcW w:type="dxa" w:w="17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Fase</w:t>
            </w:r>
          </w:p>
        </w:tc>
        <w:tc>
          <w:tcPr>
            <w:tcW w:type="dxa" w:w="33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Attività</w:t>
            </w:r>
          </w:p>
        </w:tc>
        <w:tc>
          <w:tcPr>
            <w:tcW w:type="dxa" w:w="190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Owner</w:t>
            </w:r>
          </w:p>
        </w:tc>
        <w:tc>
          <w:tcPr>
            <w:tcW w:type="dxa" w:w="2460"/>
            <w:tcBorders>
              <w:top w:val="single" w:color="BFBFBF" w:sz="6"/>
              <w:left w:val="single" w:color="BFBFBF" w:sz="6"/>
              <w:bottom w:val="single" w:color="BFBFBF" w:sz="6"/>
              <w:right w:val="single" w:color="BFBFBF" w:sz="6"/>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SLA proposto</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 Rilevazione</w:t>
            </w:r>
          </w:p>
        </w:tc>
        <w:tc>
          <w:tcPr>
            <w:tcW w:type="dxa" w:w="3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Identificazione e logging della non conformità</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Test Engineer / AIDA</w:t>
            </w:r>
          </w:p>
        </w:tc>
        <w:tc>
          <w:tcPr>
            <w:tcW w:type="dxa" w:w="2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Realtime</w:t>
            </w:r>
          </w:p>
        </w:tc>
      </w:tr>
      <w:tr>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2. Triage</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Validazione del finding, deduplica, classificazione WCAG/EN 301549</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Senior Test Engineer</w:t>
            </w:r>
          </w:p>
        </w:tc>
        <w:tc>
          <w:tcPr>
            <w:tcW w:type="dxa" w:w="24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Entro 1 gg</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3. Prioritizzazione</w:t>
            </w:r>
          </w:p>
        </w:tc>
        <w:tc>
          <w:tcPr>
            <w:tcW w:type="dxa" w:w="3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Calcolo severity (P1/P2/P3) e priority</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TMO + AIDA Impact Predictor</w:t>
            </w:r>
          </w:p>
        </w:tc>
        <w:tc>
          <w:tcPr>
            <w:tcW w:type="dxa" w:w="2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Entro 1 gg</w:t>
            </w:r>
          </w:p>
        </w:tc>
      </w:tr>
      <w:tr>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4. Instradamento</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Assegnazione al team applicativo competente</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PM iniziativa</w:t>
            </w:r>
          </w:p>
        </w:tc>
        <w:tc>
          <w:tcPr>
            <w:tcW w:type="dxa" w:w="24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Entro 1 gg</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5. Rimediazione</w:t>
            </w:r>
          </w:p>
        </w:tc>
        <w:tc>
          <w:tcPr>
            <w:tcW w:type="dxa" w:w="3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Sviluppo del fix e prima auto-verifica</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Team applicativo Poste</w:t>
            </w:r>
          </w:p>
        </w:tc>
        <w:tc>
          <w:tcPr>
            <w:tcW w:type="dxa" w:w="2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Per priority</w:t>
            </w:r>
          </w:p>
        </w:tc>
      </w:tr>
      <w:tr>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6. Test confermativo</w:t>
            </w:r>
          </w:p>
        </w:tc>
        <w:tc>
          <w:tcPr>
            <w:tcW w:type="dxa" w:w="3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Verifica della chiusura e regression test</w:t>
            </w:r>
          </w:p>
        </w:tc>
        <w:tc>
          <w:tcPr>
            <w:tcW w:type="dxa" w:w="1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Test Engineer</w:t>
            </w:r>
          </w:p>
        </w:tc>
        <w:tc>
          <w:tcPr>
            <w:tcW w:type="dxa" w:w="24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left"/>
            </w:pPr>
            <w:r>
              <w:rPr>
                <w:rFonts w:ascii="Calibri" w:cs="Calibri" w:eastAsia="Calibri" w:hAnsi="Calibri"/>
                <w:sz w:val="20"/>
                <w:szCs w:val="20"/>
              </w:rPr>
              <w:t xml:space="preserve">Entro 2 gg dalla notifica fix</w:t>
            </w:r>
          </w:p>
        </w:tc>
      </w:tr>
      <w:tr>
        <w:tc>
          <w:tcPr>
            <w:tcW w:type="dxa" w:w="17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7. Knowledge update</w:t>
            </w:r>
          </w:p>
        </w:tc>
        <w:tc>
          <w:tcPr>
            <w:tcW w:type="dxa" w:w="33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Arricchimento knowledge base con pattern e fix</w:t>
            </w:r>
          </w:p>
        </w:tc>
        <w:tc>
          <w:tcPr>
            <w:tcW w:type="dxa" w:w="190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TMO + AIDA</w:t>
            </w:r>
          </w:p>
        </w:tc>
        <w:tc>
          <w:tcPr>
            <w:tcW w:type="dxa" w:w="246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Continuo</w:t>
            </w:r>
          </w:p>
        </w:tc>
      </w:tr>
    </w:tbl>
    <w:p>
      <w:pPr>
        <w:pStyle w:val="Heading2"/>
        <w:spacing w:after="160" w:before="280"/>
      </w:pPr>
      <w:r>
        <w:rPr>
          <w:rFonts w:ascii="Calibri" w:cs="Calibri" w:eastAsia="Calibri" w:hAnsi="Calibri"/>
          <w:b/>
          <w:bCs/>
          <w:color w:val="1F3864"/>
          <w:sz w:val="26"/>
          <w:szCs w:val="26"/>
        </w:rPr>
        <w:t xml:space="preserve">7.2 Prioritizzazione e pesatura delle non conformità</w:t>
      </w:r>
    </w:p>
    <w:p>
      <w:pPr>
        <w:spacing w:after="80" w:before="80" w:line="300"/>
        <w:jc w:val="both"/>
      </w:pPr>
      <w:r>
        <w:rPr>
          <w:rFonts w:ascii="Calibri" w:cs="Calibri" w:eastAsia="Calibri" w:hAnsi="Calibri"/>
          <w:sz w:val="22"/>
          <w:szCs w:val="22"/>
        </w:rPr>
        <w:t xml:space="preserve">La severity è determinata in modo oggettivo da una matrice multi-fattore che combina: (i) impatto sull'utente con disabilità (capacità di completare il compito vs. ostacolo bloccante vs. frizione), (ii) ampiezza della popolazione interessata (cluster di disabilità impattate), (iii) criticità di business del touchpoint, (iv) criterio WCAG (livello A, AA, AAA), (v) rischio sanzionatorio. Il risultato è un punteggio 0–100 che mappa su tre livelli P1 (≥70, bloccante), P2 (40–69, alto), P3 (&lt;40). AIDA Impact Predictor automatizza il calcolo e ne garantisce la coerenza nel tempo.</w:t>
      </w:r>
    </w:p>
    <w:p>
      <w:pPr>
        <w:pStyle w:val="Heading2"/>
        <w:spacing w:after="160" w:before="280"/>
      </w:pPr>
      <w:r>
        <w:rPr>
          <w:rFonts w:ascii="Calibri" w:cs="Calibri" w:eastAsia="Calibri" w:hAnsi="Calibri"/>
          <w:b/>
          <w:bCs/>
          <w:color w:val="1F3864"/>
          <w:sz w:val="26"/>
          <w:szCs w:val="26"/>
        </w:rPr>
        <w:t xml:space="preserve">7.3 Instradamento e accuratezza delle segnalazioni</w:t>
      </w:r>
    </w:p>
    <w:p>
      <w:pPr>
        <w:spacing w:after="80" w:before="80" w:line="300"/>
        <w:jc w:val="both"/>
      </w:pPr>
      <w:r>
        <w:rPr>
          <w:rFonts w:ascii="Calibri" w:cs="Calibri" w:eastAsia="Calibri" w:hAnsi="Calibri"/>
          <w:sz w:val="22"/>
          <w:szCs w:val="22"/>
        </w:rPr>
        <w:t xml:space="preserve">L'instradamento sfrutta una mappa delle responsabilità mantenuta dal TMO insieme alle strutture Poste, che associa a ciascun touchpoint, componente di design system o servizio l'owner applicativo. AIDA Routing Engine assegna automaticamente la segnalazione al team corretto e include nella stessa: descrizione del problema, criterio violato, evidenza visuale e codice, utenti AT impattati, proposta di fix code-aware, riferimento al criterio EN 301549/WCAG, link al pattern corretto del design system. Le segnalazioni così arricchite riducono il numero di re-assignment e accelerano la rimediazione (tempo medio di triage da parte del team applicativo: −50% rispetto a segnalazioni standard).</w:t>
      </w:r>
    </w:p>
    <w:p>
      <w:pPr>
        <w:pStyle w:val="Heading2"/>
        <w:spacing w:after="160" w:before="280"/>
      </w:pPr>
      <w:r>
        <w:rPr>
          <w:rFonts w:ascii="Calibri" w:cs="Calibri" w:eastAsia="Calibri" w:hAnsi="Calibri"/>
          <w:b/>
          <w:bCs/>
          <w:color w:val="1F3864"/>
          <w:sz w:val="26"/>
          <w:szCs w:val="26"/>
        </w:rPr>
        <w:t xml:space="preserve">7.4 Test confermativi e supporto agli interventi di rimediazione</w:t>
      </w:r>
    </w:p>
    <w:p>
      <w:pPr>
        <w:spacing w:after="80" w:before="80" w:line="300"/>
        <w:jc w:val="both"/>
      </w:pPr>
      <w:r>
        <w:rPr>
          <w:rFonts w:ascii="Calibri" w:cs="Calibri" w:eastAsia="Calibri" w:hAnsi="Calibri"/>
          <w:sz w:val="22"/>
          <w:szCs w:val="22"/>
        </w:rPr>
        <w:t xml:space="preserve">Per ogni non conformità chiusa è previsto un test confermativo strutturato (con riproduzione esatta dello scenario, della configurazione AT e dell'evidenza originale), seguito da un test di regressione mirato che verifica l'assenza di effetti collaterali. Il supporto alla rimediazione è erogato in due modalità: (i) advisory asincrono, con la patch suggerita da AIDA, e (ii) pair-fixing on-demand, con un nostro Test Specialist affiancato al team applicativo per i casi P1 più complessi. Le stime degli interventi di rimediazione sono rese disponibili tramite Estimator dedicato (story points di accessibilità) per supportare la pianificazione di sprint dei team Poste.</w:t>
      </w:r>
    </w:p>
    <w:p>
      <w:pPr>
        <w:pStyle w:val="Heading2"/>
        <w:spacing w:after="160" w:before="280"/>
      </w:pPr>
      <w:r>
        <w:rPr>
          <w:rFonts w:ascii="Calibri" w:cs="Calibri" w:eastAsia="Calibri" w:hAnsi="Calibri"/>
          <w:b/>
          <w:bCs/>
          <w:color w:val="1F3864"/>
          <w:sz w:val="26"/>
          <w:szCs w:val="26"/>
        </w:rPr>
        <w:t xml:space="preserve">7.5 Standardizzazione e arricchimento della knowledge base</w:t>
      </w:r>
    </w:p>
    <w:p>
      <w:pPr>
        <w:spacing w:after="80" w:before="80" w:line="300"/>
        <w:jc w:val="both"/>
      </w:pPr>
      <w:r>
        <w:rPr>
          <w:rFonts w:ascii="Calibri" w:cs="Calibri" w:eastAsia="Calibri" w:hAnsi="Calibri"/>
          <w:sz w:val="22"/>
          <w:szCs w:val="22"/>
        </w:rPr>
        <w:t xml:space="preserve">La knowledge base di accessibilità è il vero asset di lungo periodo: ogni segnalazione conclusa contribuisce con il pattern di violazione, il fix adottato, il criterio normativo, le tecnologie coinvolte. La knowledge base è strutturata per tassonomia (criterio × componente × tecnologia) e per pattern (es. anti-pattern ricorrenti del design system), indicizzata semanticamente da AIDA Semantic. Ogni Test Engineer può interrogarla in linguaggio naturale; gli sviluppatori Poste ne ricevono estratti tematici tramite un widget integrabile negli IDE. Trimestralmente vengono pubblicate Lessons Learned con i top 10 pattern ricorrenti e la libreria di accessible patterns viene aggiornata.</w:t>
      </w:r>
    </w:p>
    <w:p>
      <w:pPr>
        <w:pStyle w:val="Heading1"/>
        <w:spacing w:after="200" w:before="360"/>
      </w:pPr>
      <w:r>
        <w:rPr>
          <w:rFonts w:ascii="Calibri" w:cs="Calibri" w:eastAsia="Calibri" w:hAnsi="Calibri"/>
          <w:b/>
          <w:bCs/>
          <w:color w:val="1F3864"/>
          <w:sz w:val="32"/>
          <w:szCs w:val="32"/>
        </w:rPr>
        <w:t xml:space="preserve">8. Sotto-requisito (g) — Proposte distintive e innovative per il monitoraggio costante delle applicazioni mobili</w:t>
      </w:r>
    </w:p>
    <w:p>
      <w:pPr>
        <w:spacing w:after="80" w:before="80" w:line="300"/>
        <w:jc w:val="both"/>
      </w:pPr>
      <w:r>
        <w:rPr>
          <w:rFonts w:ascii="Calibri" w:cs="Calibri" w:eastAsia="Calibri" w:hAnsi="Calibri"/>
          <w:sz w:val="22"/>
          <w:szCs w:val="22"/>
        </w:rPr>
        <w:t xml:space="preserve">Il comma 4 art. 12 del D.L. 82/2022 — "il fornitore di servizi predispone le misure necessarie a garantire la costante conformità della prestazione" — impone un salto di qualità nel monitoraggio post-rilascio, particolarmente rilevante per le applicazioni mobili a causa della frammentazione dei dispositivi, della rapidità dei cicli di rilascio store e dell'evoluzione delle versioni OS. Proponiamo un modello distintivo di Continuous Mobile Accessibility Monitoring che integra cinque pilastri innovativi.</w:t>
      </w:r>
    </w:p>
    <w:p>
      <w:pPr>
        <w:pStyle w:val="Heading2"/>
        <w:spacing w:after="160" w:before="280"/>
      </w:pPr>
      <w:r>
        <w:rPr>
          <w:rFonts w:ascii="Calibri" w:cs="Calibri" w:eastAsia="Calibri" w:hAnsi="Calibri"/>
          <w:b/>
          <w:bCs/>
          <w:color w:val="1F3864"/>
          <w:sz w:val="26"/>
          <w:szCs w:val="26"/>
        </w:rPr>
        <w:t xml:space="preserve">8.1 Pilastro 1 — Mobile Accessibility Continuous Pipeline</w:t>
      </w:r>
    </w:p>
    <w:p>
      <w:pPr>
        <w:spacing w:after="80" w:before="80" w:line="300"/>
        <w:jc w:val="both"/>
      </w:pPr>
      <w:r>
        <w:rPr>
          <w:rFonts w:ascii="Calibri" w:cs="Calibri" w:eastAsia="Calibri" w:hAnsi="Calibri"/>
          <w:sz w:val="22"/>
          <w:szCs w:val="22"/>
        </w:rPr>
        <w:t xml:space="preserve">Integrazione nativa con le pipeline CI/CD delle app Poste (es. Jenkins, GitHub Actions, Bitrise, App Center): a ogni build/PR viene eseguito un controllo automatico con axe Mobile, Accessibility Scanner e moduli AIDA Mobile. Il gate di rilascio è configurato per bloccare la promozione in store in presenza di violazioni P1 introdotte nella build, prevenendo regressioni. Gli sviluppatori ricevono feedback contestuale entro 5 minuti.</w:t>
      </w:r>
    </w:p>
    <w:p>
      <w:pPr>
        <w:pStyle w:val="Heading2"/>
        <w:spacing w:after="160" w:before="280"/>
      </w:pPr>
      <w:r>
        <w:rPr>
          <w:rFonts w:ascii="Calibri" w:cs="Calibri" w:eastAsia="Calibri" w:hAnsi="Calibri"/>
          <w:b/>
          <w:bCs/>
          <w:color w:val="1F3864"/>
          <w:sz w:val="26"/>
          <w:szCs w:val="26"/>
        </w:rPr>
        <w:t xml:space="preserve">8.2 Pilastro 2 — Mobile Continuous Monitoring Lab</w:t>
      </w:r>
    </w:p>
    <w:p>
      <w:pPr>
        <w:spacing w:after="80" w:before="80" w:line="300"/>
        <w:jc w:val="both"/>
      </w:pPr>
      <w:r>
        <w:rPr>
          <w:rFonts w:ascii="Calibri" w:cs="Calibri" w:eastAsia="Calibri" w:hAnsi="Calibri"/>
          <w:sz w:val="22"/>
          <w:szCs w:val="22"/>
        </w:rPr>
        <w:t xml:space="preserve">Lab fisico-virtuale con un parco device rappresentativo (top 20 device Android + top 10 iOS in uso presso il bacino utenti Poste, identificati tramite analytics) e farm cloud (BrowserStack/Sauce Labs/AWS Device Farm) per coprire la coda lunga. Esecuzione di test ricorrenti automatici con scheduling configurabile (giornaliero per app P1, settimanale per app P2, mensile per app P3), con scenari guidati e con assistive technology attive (TalkBack, VoiceOver, Switch Control, Voice Control).</w:t>
      </w:r>
    </w:p>
    <w:p>
      <w:pPr>
        <w:pStyle w:val="Heading2"/>
        <w:spacing w:after="160" w:before="280"/>
      </w:pPr>
      <w:r>
        <w:rPr>
          <w:rFonts w:ascii="Calibri" w:cs="Calibri" w:eastAsia="Calibri" w:hAnsi="Calibri"/>
          <w:b/>
          <w:bCs/>
          <w:color w:val="1F3864"/>
          <w:sz w:val="26"/>
          <w:szCs w:val="26"/>
        </w:rPr>
        <w:t xml:space="preserve">8.3 Pilastro 3 — Field Telemetry &amp; User-Centric Signals</w:t>
      </w:r>
    </w:p>
    <w:p>
      <w:pPr>
        <w:spacing w:after="80" w:before="80" w:line="300"/>
        <w:jc w:val="both"/>
      </w:pPr>
      <w:r>
        <w:rPr>
          <w:rFonts w:ascii="Calibri" w:cs="Calibri" w:eastAsia="Calibri" w:hAnsi="Calibri"/>
          <w:sz w:val="22"/>
          <w:szCs w:val="22"/>
        </w:rPr>
        <w:t xml:space="preserve">SDK di telemetria di accessibilità (proprietario, opt-in, GDPR-compliant, anonimizzato) integrabile nelle app Poste: rileva in produzione l'uso reale delle assistive technology, le frizioni utente (rage tap, tap doppio anomalo, focus persi, abbandono di flussi) e correla con i criteri di accessibilità. Combinato con il canale di feedback in-app dedicato ("Segnala un problema di accessibilità"), fornisce evidenze early-warning e alimenta AIDA Predictive Monitoring.</w:t>
      </w:r>
    </w:p>
    <w:p>
      <w:pPr>
        <w:pStyle w:val="Heading2"/>
        <w:spacing w:after="160" w:before="280"/>
      </w:pPr>
      <w:r>
        <w:rPr>
          <w:rFonts w:ascii="Calibri" w:cs="Calibri" w:eastAsia="Calibri" w:hAnsi="Calibri"/>
          <w:b/>
          <w:bCs/>
          <w:color w:val="1F3864"/>
          <w:sz w:val="26"/>
          <w:szCs w:val="26"/>
        </w:rPr>
        <w:t xml:space="preserve">8.4 Pilastro 4 — Store &amp; OS Watch</w:t>
      </w:r>
    </w:p>
    <w:p>
      <w:pPr>
        <w:spacing w:after="80" w:before="80" w:line="300"/>
        <w:jc w:val="both"/>
      </w:pPr>
      <w:r>
        <w:rPr>
          <w:rFonts w:ascii="Calibri" w:cs="Calibri" w:eastAsia="Calibri" w:hAnsi="Calibri"/>
          <w:sz w:val="22"/>
          <w:szCs w:val="22"/>
        </w:rPr>
        <w:t xml:space="preserve">Servizio di sorveglianza permanente sulle nuove versioni iOS/Android, sui nuovi modelli di device, sulle modifiche delle linee guida Apple/Google in materia di accessibilità, sull'evoluzione delle WCAG e EN 301549. Le novità sono valutate da un Comitato Tecnico bisettimanale che produce un Mobile Accessibility Bulletin con impatti attesi sui canali Poste e raccomandazioni di adeguamento, garantendo la conformità dinamica nel tempo.</w:t>
      </w:r>
    </w:p>
    <w:p>
      <w:pPr>
        <w:pStyle w:val="Heading2"/>
        <w:spacing w:after="160" w:before="280"/>
      </w:pPr>
      <w:r>
        <w:rPr>
          <w:rFonts w:ascii="Calibri" w:cs="Calibri" w:eastAsia="Calibri" w:hAnsi="Calibri"/>
          <w:b/>
          <w:bCs/>
          <w:color w:val="1F3864"/>
          <w:sz w:val="26"/>
          <w:szCs w:val="26"/>
        </w:rPr>
        <w:t xml:space="preserve">8.5 Pilastro 5 — Predictive Compliance Score (AIDA-powered)</w:t>
      </w:r>
    </w:p>
    <w:p>
      <w:pPr>
        <w:spacing w:after="80" w:before="80" w:line="300"/>
        <w:jc w:val="both"/>
      </w:pPr>
      <w:r>
        <w:rPr>
          <w:rFonts w:ascii="Calibri" w:cs="Calibri" w:eastAsia="Calibri" w:hAnsi="Calibri"/>
          <w:sz w:val="22"/>
          <w:szCs w:val="22"/>
        </w:rPr>
        <w:t xml:space="preserve">Indice predittivo che, per ogni app mobile Poste, stima la probabilità di non conformità nei 30 giorni successivi a partire da segnali combinati: pipeline build, telemetria di field, feedback utenti, novità OS, complessità della release in arrivo. AIDA Predictive Monitoring genera un alert proattivo quando lo score scende sotto la soglia, permettendo di pianificare audit mirati prima che la non conformità si manifesti. Questo pilastro materializza in modo concreto la "costante conformità" richiesta dal DL 82/2022.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4"/>
              <w:right w:val="single" w:color="1F3864" w:sz="4"/>
            </w:tcBorders>
            <w:shd w:fill="DCE6F1"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Garanzia di conformità costante e tracciabilità verso il DL 82/2022</w:t>
            </w:r>
          </w:p>
          <w:p>
            <w:pPr>
              <w:spacing w:after="40" w:before="40" w:line="280"/>
              <w:jc w:val="both"/>
            </w:pPr>
            <w:r>
              <w:rPr>
                <w:rFonts w:ascii="Calibri" w:cs="Calibri" w:eastAsia="Calibri" w:hAnsi="Calibri"/>
                <w:sz w:val="22"/>
                <w:szCs w:val="22"/>
              </w:rPr>
              <w:t xml:space="preserve">Tutti e cinque i pilastri sono orchestrati da una Mobile Accessibility Compliance Dashboard, che produce un Compliance Statement mensile per ogni app, archiviato e firmato digitalmente. Il Compliance Statement costituisce evidenza oggettiva della costante conformità della prestazione e può essere prodotto on-demand a fronte di richieste AGID, ispezioni o audit interni di Poste Italiane.</w:t>
            </w:r>
          </w:p>
          <w:p>
            <w:pPr>
              <w:spacing w:after="40" w:before="40" w:line="280"/>
              <w:jc w:val="both"/>
            </w:pPr>
            <w:r>
              <w:rPr>
                <w:rFonts w:ascii="Calibri" w:cs="Calibri" w:eastAsia="Calibri" w:hAnsi="Calibri"/>
                <w:sz w:val="22"/>
                <w:szCs w:val="22"/>
              </w:rPr>
              <w:t xml:space="preserve">Il modello è scalabile a tutte le app del Gruppo Poste e include un commitment di adeguamento entro 30 giorni alle nuove versioni delle norme tecniche di riferimento.</w:t>
            </w:r>
          </w:p>
        </w:tc>
      </w:tr>
    </w:tbl>
    <w:p>
      <w:pPr>
        <w:pStyle w:val="Heading1"/>
        <w:spacing w:after="200" w:before="360"/>
      </w:pPr>
      <w:r>
        <w:rPr>
          <w:rFonts w:ascii="Calibri" w:cs="Calibri" w:eastAsia="Calibri" w:hAnsi="Calibri"/>
          <w:b/>
          <w:bCs/>
          <w:color w:val="1F3864"/>
          <w:sz w:val="32"/>
          <w:szCs w:val="32"/>
        </w:rPr>
        <w:t xml:space="preserve">9. Sintesi del valore offerto</w:t>
      </w:r>
    </w:p>
    <w:p>
      <w:pPr>
        <w:spacing w:after="80" w:before="80" w:line="300"/>
        <w:jc w:val="both"/>
      </w:pPr>
      <w:r>
        <w:rPr>
          <w:rFonts w:ascii="Calibri" w:cs="Calibri" w:eastAsia="Calibri" w:hAnsi="Calibri"/>
          <w:sz w:val="22"/>
          <w:szCs w:val="22"/>
        </w:rPr>
        <w:t xml:space="preserve">L'approccio metodologico proposto si distingue per cinque elementi di valore, immediatamente percepibili da Poste Italiane:</w:t>
      </w:r>
    </w:p>
    <w:p>
      <w:pPr>
        <w:pStyle w:val="ListParagraph"/>
        <w:numPr>
          <w:ilvl w:val="0"/>
          <w:numId w:val="2"/>
        </w:numPr>
        <w:spacing w:after="40" w:before="40" w:line="280"/>
        <w:jc w:val="both"/>
      </w:pPr>
      <w:r>
        <w:rPr>
          <w:rFonts w:ascii="Calibri" w:cs="Calibri" w:eastAsia="Calibri" w:hAnsi="Calibri"/>
          <w:b/>
          <w:bCs/>
          <w:sz w:val="22"/>
          <w:szCs w:val="22"/>
        </w:rPr>
        <w:t xml:space="preserve">Copertura completa di tutti i sotto-requisiti (a)–(g)</w:t>
      </w:r>
      <w:r>
        <w:rPr>
          <w:rFonts w:ascii="Calibri" w:cs="Calibri" w:eastAsia="Calibri" w:hAnsi="Calibri"/>
          <w:sz w:val="22"/>
          <w:szCs w:val="22"/>
        </w:rPr>
        <w:t xml:space="preserve"> con metodologie consolidate, deliverable normati e KPI misurabili.</w:t>
      </w:r>
    </w:p>
    <w:p>
      <w:pPr>
        <w:pStyle w:val="ListParagraph"/>
        <w:numPr>
          <w:ilvl w:val="0"/>
          <w:numId w:val="2"/>
        </w:numPr>
        <w:spacing w:after="40" w:before="40" w:line="280"/>
        <w:jc w:val="both"/>
      </w:pPr>
      <w:r>
        <w:rPr>
          <w:rFonts w:ascii="Calibri" w:cs="Calibri" w:eastAsia="Calibri" w:hAnsi="Calibri"/>
          <w:b/>
          <w:bCs/>
          <w:sz w:val="22"/>
          <w:szCs w:val="22"/>
        </w:rPr>
        <w:t xml:space="preserve">Piattaforma AI proprietaria AIDA</w:t>
      </w:r>
      <w:r>
        <w:rPr>
          <w:rFonts w:ascii="Calibri" w:cs="Calibri" w:eastAsia="Calibri" w:hAnsi="Calibri"/>
          <w:sz w:val="22"/>
          <w:szCs w:val="22"/>
        </w:rPr>
        <w:t xml:space="preserve"> come acceleratore trasversale, con benefici quantificati su tempo, qualità e copertura.</w:t>
      </w:r>
    </w:p>
    <w:p>
      <w:pPr>
        <w:pStyle w:val="ListParagraph"/>
        <w:numPr>
          <w:ilvl w:val="0"/>
          <w:numId w:val="2"/>
        </w:numPr>
        <w:spacing w:after="40" w:before="40" w:line="280"/>
        <w:jc w:val="both"/>
      </w:pPr>
      <w:r>
        <w:rPr>
          <w:rFonts w:ascii="Calibri" w:cs="Calibri" w:eastAsia="Calibri" w:hAnsi="Calibri"/>
          <w:b/>
          <w:bCs/>
          <w:sz w:val="22"/>
          <w:szCs w:val="22"/>
        </w:rPr>
        <w:t xml:space="preserve">Allineamento normativo end-to-end</w:t>
      </w:r>
      <w:r>
        <w:rPr>
          <w:rFonts w:ascii="Calibri" w:cs="Calibri" w:eastAsia="Calibri" w:hAnsi="Calibri"/>
          <w:sz w:val="22"/>
          <w:szCs w:val="22"/>
        </w:rPr>
        <w:t xml:space="preserve"> a EN 301549, WCAG 2.2 AA, Linee Guida AGID, D.Lgs. 82/2022, EAA (Direttiva 2019/882/UE).</w:t>
      </w:r>
    </w:p>
    <w:p>
      <w:pPr>
        <w:pStyle w:val="ListParagraph"/>
        <w:numPr>
          <w:ilvl w:val="0"/>
          <w:numId w:val="2"/>
        </w:numPr>
        <w:spacing w:after="40" w:before="40" w:line="280"/>
        <w:jc w:val="both"/>
      </w:pPr>
      <w:r>
        <w:rPr>
          <w:rFonts w:ascii="Calibri" w:cs="Calibri" w:eastAsia="Calibri" w:hAnsi="Calibri"/>
          <w:b/>
          <w:bCs/>
          <w:sz w:val="22"/>
          <w:szCs w:val="22"/>
        </w:rPr>
        <w:t xml:space="preserve">Modello di miglioramento continuo</w:t>
      </w:r>
      <w:r>
        <w:rPr>
          <w:rFonts w:ascii="Calibri" w:cs="Calibri" w:eastAsia="Calibri" w:hAnsi="Calibri"/>
          <w:sz w:val="22"/>
          <w:szCs w:val="22"/>
        </w:rPr>
        <w:t xml:space="preserve"> basato su Accessibility Maturity Index, knowledge base evolutiva e ROI di accessibilità.</w:t>
      </w:r>
    </w:p>
    <w:p>
      <w:pPr>
        <w:pStyle w:val="ListParagraph"/>
        <w:numPr>
          <w:ilvl w:val="0"/>
          <w:numId w:val="2"/>
        </w:numPr>
        <w:spacing w:after="40" w:before="40" w:line="280"/>
        <w:jc w:val="both"/>
      </w:pPr>
      <w:r>
        <w:rPr>
          <w:rFonts w:ascii="Calibri" w:cs="Calibri" w:eastAsia="Calibri" w:hAnsi="Calibri"/>
          <w:b/>
          <w:bCs/>
          <w:sz w:val="22"/>
          <w:szCs w:val="22"/>
        </w:rPr>
        <w:t xml:space="preserve">Continuous Mobile Accessibility Monitoring</w:t>
      </w:r>
      <w:r>
        <w:rPr>
          <w:rFonts w:ascii="Calibri" w:cs="Calibri" w:eastAsia="Calibri" w:hAnsi="Calibri"/>
          <w:sz w:val="22"/>
          <w:szCs w:val="22"/>
        </w:rPr>
        <w:t xml:space="preserve"> come risposta concreta e innovativa al requisito di costante conformità del DL 82/2022.</w:t>
      </w:r>
    </w:p>
    <w:p>
      <w:pPr>
        <w:spacing w:after="80" w:before="80" w:line="300"/>
        <w:jc w:val="both"/>
      </w:pPr>
      <w:r>
        <w:rPr>
          <w:rFonts w:ascii="Calibri" w:cs="Calibri" w:eastAsia="Calibri" w:hAnsi="Calibri"/>
          <w:sz w:val="22"/>
          <w:szCs w:val="22"/>
        </w:rPr>
        <w:t xml:space="preserve">L'integrazione tra metodologia, persone certificate e tecnologie AI (AIDA) abilita Poste Italiane a perseguire i tre obiettivi strategici dichiarati nel Capitolato: garantire la conformità normativa, migliorare la Customer Experience dei clienti con disabilità e mitigare il rischio sanzionatorio.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center"/>
    </w:pPr>
    <w:r>
      <w:rPr>
        <w:rFonts w:ascii="Calibri" w:cs="Calibri" w:eastAsia="Calibri" w:hAnsi="Calibri"/>
        <w:color w:val="595959"/>
        <w:sz w:val="18"/>
        <w:szCs w:val="18"/>
      </w:rPr>
      <w:t xml:space="preserve">Approccio metodologico e di progetto</w:t>
    </w:r>
    <w:r>
      <w:rPr>
        <w:rFonts w:ascii="Calibri" w:cs="Calibri" w:eastAsia="Calibri" w:hAnsi="Calibri"/>
        <w:color w:val="595959"/>
        <w:sz w:val="18"/>
        <w:szCs w:val="18"/>
      </w:rPr>
      <w:t xml:space="preserve">	Pagina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di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Risposta a Capitolato Tecnico — Poste Italiane | VA_REQ_56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VA_REQ_56 — Approccio metodologico e di progetto</dc:title>
  <dc:creator>Team Accessibilità &amp; Quality Engineering</dc:creator>
  <dc:description>Risposta al Capitolato Tecnico Poste Italiane</dc:description>
  <cp:lastModifiedBy>Un-named</cp:lastModifiedBy>
  <cp:revision>1</cp:revision>
  <dcterms:created xsi:type="dcterms:W3CDTF">2026-05-04T15:09:44.884Z</dcterms:created>
  <dcterms:modified xsi:type="dcterms:W3CDTF">2026-05-04T15:09:44.884Z</dcterms:modified>
</cp:coreProperties>
</file>

<file path=docProps/custom.xml><?xml version="1.0" encoding="utf-8"?>
<Properties xmlns="http://schemas.openxmlformats.org/officeDocument/2006/custom-properties" xmlns:vt="http://schemas.openxmlformats.org/officeDocument/2006/docPropsVTypes"/>
</file>