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363"/>
        <w:gridCol w:w="1436"/>
        <w:gridCol w:w="1429"/>
        <w:gridCol w:w="1510"/>
        <w:gridCol w:w="1858"/>
        <w:gridCol w:w="1245"/>
      </w:tblGrid>
      <w:tr w:rsidR="00477BD9" w:rsidRPr="003E5F5F" w:rsidTr="00491259">
        <w:trPr>
          <w:trHeight w:val="533"/>
        </w:trPr>
        <w:tc>
          <w:tcPr>
            <w:tcW w:w="293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7BD9" w:rsidRPr="003E5F5F" w:rsidRDefault="00477BD9" w:rsidP="00491259">
            <w:pPr>
              <w:jc w:val="center"/>
            </w:pPr>
            <w:r w:rsidRPr="003E5F5F">
              <w:rPr>
                <w:noProof/>
                <w:lang w:val="sk-SK" w:eastAsia="sk-SK"/>
              </w:rPr>
              <w:drawing>
                <wp:inline distT="0" distB="0" distL="0" distR="0" wp14:anchorId="3B39D0F4" wp14:editId="34120532">
                  <wp:extent cx="1695450" cy="533400"/>
                  <wp:effectExtent l="0" t="0" r="0" b="0"/>
                  <wp:docPr id="1" name="obrázek 1" descr="FEKT_zkratka_barevne_RGB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KT_zkratka_barevne_RGB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dxa"/>
            <w:tcBorders>
              <w:top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Předmět</w:t>
            </w:r>
          </w:p>
        </w:tc>
        <w:tc>
          <w:tcPr>
            <w:tcW w:w="4613" w:type="dxa"/>
            <w:gridSpan w:val="3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477BD9" w:rsidRPr="00F84435" w:rsidRDefault="00477BD9" w:rsidP="00491259">
            <w:pPr>
              <w:pStyle w:val="Nadpis1"/>
              <w:shd w:val="clear" w:color="auto" w:fill="FFFFFF"/>
              <w:spacing w:before="0"/>
              <w:jc w:val="center"/>
              <w:rPr>
                <w:bCs w:val="0"/>
                <w:color w:val="373A3C"/>
                <w:sz w:val="48"/>
                <w:szCs w:val="48"/>
                <w:lang w:val="sk-SK" w:eastAsia="sk-SK"/>
              </w:rPr>
            </w:pPr>
            <w:r w:rsidRPr="004C5D99">
              <w:rPr>
                <w:sz w:val="24"/>
              </w:rPr>
              <w:t>OPTICKÉ KOMUNIKACE</w:t>
            </w:r>
          </w:p>
        </w:tc>
      </w:tr>
      <w:tr w:rsidR="00477BD9" w:rsidRPr="003E5F5F" w:rsidTr="00491259">
        <w:trPr>
          <w:trHeight w:val="519"/>
        </w:trPr>
        <w:tc>
          <w:tcPr>
            <w:tcW w:w="2930" w:type="dxa"/>
            <w:gridSpan w:val="3"/>
            <w:vMerge/>
            <w:tcBorders>
              <w:left w:val="single" w:sz="12" w:space="0" w:color="auto"/>
            </w:tcBorders>
          </w:tcPr>
          <w:p w:rsidR="00477BD9" w:rsidRPr="003E5F5F" w:rsidRDefault="00477BD9" w:rsidP="00491259"/>
        </w:tc>
        <w:tc>
          <w:tcPr>
            <w:tcW w:w="1429" w:type="dxa"/>
            <w:tcBorders>
              <w:right w:val="nil"/>
            </w:tcBorders>
          </w:tcPr>
          <w:p w:rsidR="00477BD9" w:rsidRPr="00912430" w:rsidRDefault="00477BD9" w:rsidP="00491259">
            <w:pPr>
              <w:pStyle w:val="StylStylTahoma10bPed3b"/>
            </w:pPr>
            <w:r w:rsidRPr="003E5F5F">
              <w:t>Jméno</w:t>
            </w:r>
            <w:r>
              <w:t xml:space="preserve"> </w:t>
            </w:r>
          </w:p>
        </w:tc>
        <w:tc>
          <w:tcPr>
            <w:tcW w:w="4613" w:type="dxa"/>
            <w:gridSpan w:val="3"/>
            <w:tcBorders>
              <w:left w:val="nil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  <w:r>
              <w:t>Matúš Burčo</w:t>
            </w:r>
          </w:p>
        </w:tc>
      </w:tr>
      <w:tr w:rsidR="00477BD9" w:rsidRPr="003E5F5F" w:rsidTr="00491259">
        <w:trPr>
          <w:trHeight w:val="527"/>
        </w:trPr>
        <w:tc>
          <w:tcPr>
            <w:tcW w:w="2930" w:type="dxa"/>
            <w:gridSpan w:val="3"/>
            <w:vMerge/>
            <w:tcBorders>
              <w:left w:val="single" w:sz="12" w:space="0" w:color="auto"/>
            </w:tcBorders>
          </w:tcPr>
          <w:p w:rsidR="00477BD9" w:rsidRPr="003E5F5F" w:rsidRDefault="00477BD9" w:rsidP="00491259"/>
        </w:tc>
        <w:tc>
          <w:tcPr>
            <w:tcW w:w="1429" w:type="dxa"/>
            <w:tcBorders>
              <w:right w:val="nil"/>
            </w:tcBorders>
          </w:tcPr>
          <w:p w:rsidR="00477BD9" w:rsidRPr="00912430" w:rsidRDefault="00477BD9" w:rsidP="00491259">
            <w:pPr>
              <w:pStyle w:val="StylStylTahoma10bPed3b"/>
              <w:rPr>
                <w:sz w:val="24"/>
                <w:szCs w:val="24"/>
              </w:rPr>
            </w:pPr>
            <w:r w:rsidRPr="003E5F5F">
              <w:t>Ročník</w:t>
            </w:r>
            <w:r>
              <w:t xml:space="preserve"> </w:t>
            </w:r>
          </w:p>
        </w:tc>
        <w:tc>
          <w:tcPr>
            <w:tcW w:w="1510" w:type="dxa"/>
            <w:tcBorders>
              <w:left w:val="nil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  <w:r>
              <w:t>2.</w:t>
            </w:r>
          </w:p>
        </w:tc>
        <w:tc>
          <w:tcPr>
            <w:tcW w:w="1858" w:type="dxa"/>
            <w:tcBorders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Studijní skupina</w:t>
            </w:r>
          </w:p>
        </w:tc>
        <w:tc>
          <w:tcPr>
            <w:tcW w:w="1245" w:type="dxa"/>
            <w:tcBorders>
              <w:left w:val="nil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  <w:r>
              <w:t>TLI-BPC</w:t>
            </w:r>
          </w:p>
        </w:tc>
      </w:tr>
      <w:tr w:rsidR="00477BD9" w:rsidRPr="003E5F5F" w:rsidTr="00491259">
        <w:trPr>
          <w:trHeight w:val="534"/>
        </w:trPr>
        <w:tc>
          <w:tcPr>
            <w:tcW w:w="293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77BD9" w:rsidRPr="003E5F5F" w:rsidRDefault="00477BD9" w:rsidP="00491259"/>
        </w:tc>
        <w:tc>
          <w:tcPr>
            <w:tcW w:w="1429" w:type="dxa"/>
            <w:tcBorders>
              <w:bottom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>
              <w:t>Spolupracoval</w:t>
            </w:r>
          </w:p>
        </w:tc>
        <w:tc>
          <w:tcPr>
            <w:tcW w:w="1510" w:type="dxa"/>
            <w:tcBorders>
              <w:left w:val="nil"/>
              <w:bottom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  <w:r>
              <w:t>-</w:t>
            </w:r>
          </w:p>
        </w:tc>
        <w:tc>
          <w:tcPr>
            <w:tcW w:w="1858" w:type="dxa"/>
            <w:tcBorders>
              <w:bottom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>
              <w:t>Vypracováno</w:t>
            </w:r>
            <w:r w:rsidRPr="003E5F5F">
              <w:t xml:space="preserve"> dne</w:t>
            </w:r>
          </w:p>
        </w:tc>
        <w:tc>
          <w:tcPr>
            <w:tcW w:w="1245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Nadpis3"/>
            </w:pPr>
            <w:proofErr w:type="gramStart"/>
            <w:r>
              <w:t>3.5</w:t>
            </w:r>
            <w:r>
              <w:t>.2021</w:t>
            </w:r>
            <w:proofErr w:type="gramEnd"/>
          </w:p>
        </w:tc>
      </w:tr>
      <w:tr w:rsidR="00477BD9" w:rsidRPr="003E5F5F" w:rsidTr="00491259">
        <w:trPr>
          <w:trHeight w:val="528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Kontroloval</w:t>
            </w:r>
          </w:p>
        </w:tc>
        <w:tc>
          <w:tcPr>
            <w:tcW w:w="179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</w:p>
        </w:tc>
        <w:tc>
          <w:tcPr>
            <w:tcW w:w="1429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 xml:space="preserve">Hodnocení </w:t>
            </w:r>
          </w:p>
        </w:tc>
        <w:tc>
          <w:tcPr>
            <w:tcW w:w="151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</w:p>
        </w:tc>
        <w:tc>
          <w:tcPr>
            <w:tcW w:w="185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Dne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Nadpis3"/>
              <w:jc w:val="center"/>
            </w:pPr>
          </w:p>
        </w:tc>
      </w:tr>
      <w:tr w:rsidR="00477BD9" w:rsidRPr="003E5F5F" w:rsidTr="00491259">
        <w:trPr>
          <w:trHeight w:val="374"/>
        </w:trPr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Číslo úlohy</w:t>
            </w:r>
          </w:p>
        </w:tc>
        <w:tc>
          <w:tcPr>
            <w:tcW w:w="7478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77BD9" w:rsidRPr="003E5F5F" w:rsidRDefault="00477BD9" w:rsidP="00491259">
            <w:pPr>
              <w:pStyle w:val="StylStylTahoma10bPed3b"/>
            </w:pPr>
            <w:r w:rsidRPr="003E5F5F">
              <w:t>Název úlohy</w:t>
            </w:r>
          </w:p>
        </w:tc>
      </w:tr>
      <w:tr w:rsidR="00477BD9" w:rsidRPr="003E5F5F" w:rsidTr="00491259">
        <w:trPr>
          <w:trHeight w:val="692"/>
        </w:trPr>
        <w:tc>
          <w:tcPr>
            <w:tcW w:w="149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BD9" w:rsidRPr="003E5F5F" w:rsidRDefault="00477BD9" w:rsidP="00491259">
            <w:pPr>
              <w:pStyle w:val="Nadpis1"/>
              <w:jc w:val="center"/>
            </w:pPr>
            <w:r>
              <w:t>3</w:t>
            </w:r>
          </w:p>
        </w:tc>
        <w:tc>
          <w:tcPr>
            <w:tcW w:w="7478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77BD9" w:rsidRPr="00477BD9" w:rsidRDefault="00477BD9" w:rsidP="00477BD9">
            <w:pPr>
              <w:jc w:val="center"/>
              <w:rPr>
                <w:b/>
                <w:sz w:val="36"/>
              </w:rPr>
            </w:pPr>
            <w:r w:rsidRPr="00477BD9">
              <w:rPr>
                <w:b/>
                <w:sz w:val="36"/>
              </w:rPr>
              <w:t>Polarizace optického záření</w:t>
            </w:r>
          </w:p>
        </w:tc>
      </w:tr>
    </w:tbl>
    <w:p w:rsidR="00477BD9" w:rsidRDefault="00477BD9"/>
    <w:p w:rsidR="00477BD9" w:rsidRDefault="00477BD9">
      <w:pPr>
        <w:rPr>
          <w:b/>
        </w:rPr>
      </w:pPr>
      <w:r w:rsidRPr="001827D7">
        <w:rPr>
          <w:b/>
        </w:rPr>
        <w:t>3.1.</w:t>
      </w:r>
      <w:r w:rsidR="00D67C39" w:rsidRPr="001827D7">
        <w:rPr>
          <w:b/>
        </w:rPr>
        <w:t xml:space="preserve"> </w:t>
      </w:r>
      <w:r w:rsidRPr="001827D7">
        <w:rPr>
          <w:b/>
        </w:rPr>
        <w:t xml:space="preserve">Vysvětlete, co znamená pojem polarizace (kterých složek se to týká, jaké složky analyzujeme?). </w:t>
      </w:r>
    </w:p>
    <w:p w:rsidR="001827D7" w:rsidRDefault="001827D7">
      <w:r>
        <w:t xml:space="preserve">Polarizace je fyzikální </w:t>
      </w:r>
      <w:r w:rsidR="00BF3094">
        <w:t>jev.</w:t>
      </w:r>
      <w:r>
        <w:t xml:space="preserve"> </w:t>
      </w:r>
      <w:r w:rsidR="00BF3094">
        <w:t>P</w:t>
      </w:r>
      <w:r>
        <w:t xml:space="preserve">olarizaci </w:t>
      </w:r>
      <w:r>
        <w:t xml:space="preserve">vysvětluje a popisuje </w:t>
      </w:r>
      <w:r w:rsidR="00BF3094">
        <w:t>elektromagnetická optika a týká se elektrický a magnetický složky.</w:t>
      </w:r>
    </w:p>
    <w:p w:rsidR="001827D7" w:rsidRDefault="001827D7">
      <w:r>
        <w:t xml:space="preserve">Sledujeme vektor elektrické složky, který je vždy kolmý na směr šíření elektromagnetického záření. Pokud má vektor elektrické intenzity nahodilý směr i velikost, pak hovoříme o nepolarizovaném záření. V případě, že pro směr i velikost vektoru elektrické složky záření platí jisté zákonitosti, pak hovoříme o polarizovaném záření. </w:t>
      </w:r>
    </w:p>
    <w:p w:rsidR="004943B2" w:rsidRDefault="004943B2">
      <w:pPr>
        <w:rPr>
          <w:b/>
        </w:rPr>
      </w:pPr>
    </w:p>
    <w:p w:rsidR="00477BD9" w:rsidRDefault="00477BD9">
      <w:pPr>
        <w:rPr>
          <w:b/>
        </w:rPr>
      </w:pPr>
      <w:r w:rsidRPr="001827D7">
        <w:rPr>
          <w:b/>
        </w:rPr>
        <w:t>3.2.</w:t>
      </w:r>
      <w:r w:rsidR="00D67C39" w:rsidRPr="001827D7">
        <w:rPr>
          <w:b/>
        </w:rPr>
        <w:t xml:space="preserve"> </w:t>
      </w:r>
      <w:r w:rsidRPr="001827D7">
        <w:rPr>
          <w:b/>
        </w:rPr>
        <w:t xml:space="preserve">Co znamená pojem lineárně polarizované záření? Jaký vztah platí pro amplitudy a fázové rozdíly dílčích složek? </w:t>
      </w:r>
    </w:p>
    <w:p w:rsidR="004943B2" w:rsidRPr="001827D7" w:rsidRDefault="00204432">
      <w:pPr>
        <w:rPr>
          <w:b/>
        </w:rPr>
      </w:pPr>
      <w:r w:rsidRPr="00204432">
        <w:rPr>
          <w:b/>
        </w:rPr>
        <w:drawing>
          <wp:anchor distT="0" distB="0" distL="114300" distR="114300" simplePos="0" relativeHeight="251661312" behindDoc="0" locked="0" layoutInCell="1" allowOverlap="1" wp14:anchorId="2CBE8E6D" wp14:editId="256AB9C0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209675" cy="913130"/>
            <wp:effectExtent l="0" t="0" r="9525" b="127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3B2" w:rsidRPr="004943B2">
        <w:rPr>
          <w:rFonts w:cstheme="minorHAnsi"/>
          <w:color w:val="212529"/>
          <w:shd w:val="clear" w:color="auto" w:fill="FFFFFF"/>
        </w:rPr>
        <w:t>Je-li směr vektoru </w:t>
      </w:r>
      <w:r w:rsidR="004943B2" w:rsidRPr="004943B2">
        <w:rPr>
          <w:rFonts w:cstheme="minorHAnsi"/>
          <w:b/>
          <w:bCs/>
          <w:color w:val="212529"/>
          <w:shd w:val="clear" w:color="auto" w:fill="FFFFFF"/>
        </w:rPr>
        <w:t>E</w:t>
      </w:r>
      <w:r w:rsidR="00BF3094">
        <w:rPr>
          <w:rFonts w:cstheme="minorHAnsi"/>
          <w:color w:val="212529"/>
          <w:shd w:val="clear" w:color="auto" w:fill="FFFFFF"/>
        </w:rPr>
        <w:t xml:space="preserve"> v konkrétní rovině neměnný, tak se jedná </w:t>
      </w:r>
      <w:r w:rsidR="004943B2" w:rsidRPr="004943B2">
        <w:rPr>
          <w:rFonts w:cstheme="minorHAnsi"/>
          <w:color w:val="212529"/>
          <w:shd w:val="clear" w:color="auto" w:fill="FFFFFF"/>
        </w:rPr>
        <w:t>o </w:t>
      </w:r>
      <w:r w:rsidR="004943B2" w:rsidRPr="00BF3094">
        <w:rPr>
          <w:rFonts w:cstheme="minorHAnsi"/>
          <w:bCs/>
          <w:color w:val="212529"/>
          <w:shd w:val="clear" w:color="auto" w:fill="FFFFFF"/>
        </w:rPr>
        <w:t>lineární polarizaci</w:t>
      </w:r>
      <w:r w:rsidR="004943B2" w:rsidRPr="00BF3094">
        <w:rPr>
          <w:rFonts w:cstheme="minorHAnsi"/>
          <w:color w:val="212529"/>
          <w:shd w:val="clear" w:color="auto" w:fill="FFFFFF"/>
        </w:rPr>
        <w:t>.</w:t>
      </w:r>
    </w:p>
    <w:p w:rsidR="004943B2" w:rsidRDefault="004943B2">
      <w:pPr>
        <w:rPr>
          <w:b/>
        </w:rPr>
      </w:pPr>
    </w:p>
    <w:p w:rsidR="00477BD9" w:rsidRDefault="00204432">
      <w:pPr>
        <w:rPr>
          <w:b/>
        </w:rPr>
      </w:pPr>
      <w:r w:rsidRPr="00204432">
        <w:rPr>
          <w:rFonts w:cstheme="minorHAnsi"/>
          <w:b/>
        </w:rPr>
        <w:drawing>
          <wp:anchor distT="0" distB="0" distL="114300" distR="114300" simplePos="0" relativeHeight="251660288" behindDoc="0" locked="0" layoutInCell="1" allowOverlap="1" wp14:anchorId="39376788" wp14:editId="1D8B9337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1673860" cy="847725"/>
            <wp:effectExtent l="0" t="0" r="254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BD9" w:rsidRPr="001827D7">
        <w:rPr>
          <w:b/>
        </w:rPr>
        <w:t xml:space="preserve">3.3. Co znamená pojem kruhově polarizované záření? Jaký vztah platí pro amplitudy a fázové rozdíly dílčích složek? </w:t>
      </w:r>
    </w:p>
    <w:p w:rsidR="00204432" w:rsidRDefault="00204432">
      <w:pPr>
        <w:rPr>
          <w:rFonts w:cstheme="minorHAnsi"/>
          <w:color w:val="212529"/>
          <w:shd w:val="clear" w:color="auto" w:fill="FFFFFF"/>
        </w:rPr>
      </w:pPr>
      <w:r w:rsidRPr="00204432">
        <w:rPr>
          <w:b/>
        </w:rPr>
        <w:drawing>
          <wp:anchor distT="0" distB="0" distL="114300" distR="114300" simplePos="0" relativeHeight="251658240" behindDoc="0" locked="0" layoutInCell="1" allowOverlap="1" wp14:anchorId="37FE1F54" wp14:editId="2B04B18F">
            <wp:simplePos x="0" y="0"/>
            <wp:positionH relativeFrom="margin">
              <wp:posOffset>224155</wp:posOffset>
            </wp:positionH>
            <wp:positionV relativeFrom="paragraph">
              <wp:posOffset>175895</wp:posOffset>
            </wp:positionV>
            <wp:extent cx="3257886" cy="1666875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8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094">
        <w:rPr>
          <w:rFonts w:cstheme="minorHAnsi"/>
          <w:color w:val="212529"/>
          <w:shd w:val="clear" w:color="auto" w:fill="FFFFFF"/>
        </w:rPr>
        <w:t>Když vektor</w:t>
      </w:r>
      <w:r w:rsidR="004943B2" w:rsidRPr="004943B2">
        <w:rPr>
          <w:rFonts w:cstheme="minorHAnsi"/>
          <w:color w:val="212529"/>
          <w:shd w:val="clear" w:color="auto" w:fill="FFFFFF"/>
        </w:rPr>
        <w:t> </w:t>
      </w:r>
      <w:r w:rsidR="004943B2" w:rsidRPr="004943B2">
        <w:rPr>
          <w:rFonts w:cstheme="minorHAnsi"/>
          <w:b/>
          <w:bCs/>
          <w:color w:val="212529"/>
          <w:shd w:val="clear" w:color="auto" w:fill="FFFFFF"/>
        </w:rPr>
        <w:t>E</w:t>
      </w:r>
      <w:r w:rsidR="004943B2" w:rsidRPr="004943B2">
        <w:rPr>
          <w:rFonts w:cstheme="minorHAnsi"/>
          <w:color w:val="212529"/>
          <w:shd w:val="clear" w:color="auto" w:fill="FFFFFF"/>
        </w:rPr>
        <w:t> opisuje kružnici</w:t>
      </w:r>
      <w:r w:rsidR="00BF3094">
        <w:rPr>
          <w:rFonts w:cstheme="minorHAnsi"/>
          <w:color w:val="212529"/>
          <w:shd w:val="clear" w:color="auto" w:fill="FFFFFF"/>
        </w:rPr>
        <w:t>, tak se jedná o kruhovou polarizaci.</w:t>
      </w:r>
    </w:p>
    <w:p w:rsidR="00204432" w:rsidRPr="00204432" w:rsidRDefault="00477BD9">
      <w:pPr>
        <w:rPr>
          <w:rFonts w:cstheme="minorHAnsi"/>
          <w:color w:val="212529"/>
          <w:shd w:val="clear" w:color="auto" w:fill="FFFFFF"/>
        </w:rPr>
      </w:pPr>
      <w:r w:rsidRPr="001827D7">
        <w:rPr>
          <w:b/>
        </w:rPr>
        <w:lastRenderedPageBreak/>
        <w:t xml:space="preserve">3.4. Co znamená pojem elipticky polarizované záření? Jaký vztah platí pro amplitudy a fázové rozdíly dílčích složek? </w:t>
      </w:r>
    </w:p>
    <w:p w:rsidR="004943B2" w:rsidRPr="004943B2" w:rsidRDefault="00204432">
      <w:pPr>
        <w:rPr>
          <w:rFonts w:cstheme="minorHAnsi"/>
          <w:color w:val="212529"/>
          <w:shd w:val="clear" w:color="auto" w:fill="FFFFFF"/>
        </w:rPr>
      </w:pPr>
      <w:r w:rsidRPr="00204432">
        <w:rPr>
          <w:rFonts w:cstheme="minorHAnsi"/>
          <w:color w:val="212529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7ECBDE3" wp14:editId="303D97CA">
            <wp:simplePos x="0" y="0"/>
            <wp:positionH relativeFrom="margin">
              <wp:posOffset>4500880</wp:posOffset>
            </wp:positionH>
            <wp:positionV relativeFrom="paragraph">
              <wp:posOffset>10795</wp:posOffset>
            </wp:positionV>
            <wp:extent cx="1504950" cy="1234440"/>
            <wp:effectExtent l="0" t="0" r="0" b="381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432">
        <w:rPr>
          <w:b/>
        </w:rPr>
        <w:drawing>
          <wp:anchor distT="0" distB="0" distL="114300" distR="114300" simplePos="0" relativeHeight="251659264" behindDoc="0" locked="0" layoutInCell="1" allowOverlap="1" wp14:anchorId="3A97DF77" wp14:editId="6F64AC73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4133850" cy="1880235"/>
            <wp:effectExtent l="0" t="0" r="0" b="571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37" cy="188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3B2" w:rsidRPr="004943B2">
        <w:rPr>
          <w:rFonts w:cstheme="minorHAnsi"/>
          <w:color w:val="212529"/>
          <w:shd w:val="clear" w:color="auto" w:fill="FFFFFF"/>
        </w:rPr>
        <w:t>P</w:t>
      </w:r>
      <w:r w:rsidR="00BF3094">
        <w:rPr>
          <w:rFonts w:cstheme="minorHAnsi"/>
          <w:color w:val="212529"/>
          <w:shd w:val="clear" w:color="auto" w:fill="FFFFFF"/>
        </w:rPr>
        <w:t>okud</w:t>
      </w:r>
      <w:r w:rsidR="004943B2" w:rsidRPr="004943B2">
        <w:rPr>
          <w:rFonts w:cstheme="minorHAnsi"/>
          <w:color w:val="212529"/>
          <w:shd w:val="clear" w:color="auto" w:fill="FFFFFF"/>
        </w:rPr>
        <w:t xml:space="preserve"> směr vektoru </w:t>
      </w:r>
      <w:r w:rsidR="004943B2" w:rsidRPr="004943B2">
        <w:rPr>
          <w:rFonts w:cstheme="minorHAnsi"/>
          <w:b/>
          <w:bCs/>
          <w:color w:val="212529"/>
          <w:shd w:val="clear" w:color="auto" w:fill="FFFFFF"/>
        </w:rPr>
        <w:t>E</w:t>
      </w:r>
      <w:r w:rsidR="004943B2" w:rsidRPr="004943B2">
        <w:rPr>
          <w:rFonts w:cstheme="minorHAnsi"/>
          <w:color w:val="212529"/>
          <w:shd w:val="clear" w:color="auto" w:fill="FFFFFF"/>
        </w:rPr>
        <w:t xml:space="preserve"> bude opisovat</w:t>
      </w:r>
      <w:r w:rsidR="00BF3094">
        <w:rPr>
          <w:rFonts w:cstheme="minorHAnsi"/>
          <w:color w:val="212529"/>
          <w:shd w:val="clear" w:color="auto" w:fill="FFFFFF"/>
        </w:rPr>
        <w:t xml:space="preserve"> elipsu</w:t>
      </w:r>
      <w:r>
        <w:rPr>
          <w:rFonts w:cstheme="minorHAnsi"/>
          <w:color w:val="212529"/>
          <w:shd w:val="clear" w:color="auto" w:fill="FFFFFF"/>
        </w:rPr>
        <w:t>,</w:t>
      </w:r>
      <w:r w:rsidR="004943B2" w:rsidRPr="004943B2">
        <w:rPr>
          <w:rFonts w:cstheme="minorHAnsi"/>
          <w:color w:val="212529"/>
          <w:shd w:val="clear" w:color="auto" w:fill="FFFFFF"/>
        </w:rPr>
        <w:t xml:space="preserve"> hovoříme o </w:t>
      </w:r>
      <w:r w:rsidR="004943B2" w:rsidRPr="00204432">
        <w:rPr>
          <w:rFonts w:cstheme="minorHAnsi"/>
          <w:bCs/>
          <w:color w:val="212529"/>
          <w:shd w:val="clear" w:color="auto" w:fill="FFFFFF"/>
        </w:rPr>
        <w:t>eliptické polarizaci</w:t>
      </w:r>
      <w:r w:rsidR="004943B2" w:rsidRPr="00204432">
        <w:rPr>
          <w:rFonts w:cstheme="minorHAnsi"/>
          <w:color w:val="212529"/>
          <w:shd w:val="clear" w:color="auto" w:fill="FFFFFF"/>
        </w:rPr>
        <w:t>.</w:t>
      </w:r>
      <w:r w:rsidRPr="00204432">
        <w:rPr>
          <w:noProof/>
          <w:lang w:val="sk-SK" w:eastAsia="sk-SK"/>
        </w:rPr>
        <w:t xml:space="preserve"> </w:t>
      </w:r>
    </w:p>
    <w:p w:rsidR="004943B2" w:rsidRDefault="004943B2">
      <w:pPr>
        <w:rPr>
          <w:b/>
        </w:rPr>
      </w:pPr>
    </w:p>
    <w:p w:rsidR="00477BD9" w:rsidRDefault="00477BD9">
      <w:pPr>
        <w:rPr>
          <w:b/>
        </w:rPr>
      </w:pPr>
      <w:r w:rsidRPr="001827D7">
        <w:rPr>
          <w:b/>
        </w:rPr>
        <w:t xml:space="preserve">3.5. Vyberte si jednu z polarizací (lineární, kruhová, nebo eliptická) a vykreslete ji. Nezapomeňte řádně označit osy. </w:t>
      </w:r>
    </w:p>
    <w:p w:rsidR="00F83294" w:rsidRPr="001827D7" w:rsidRDefault="00F83294">
      <w:pPr>
        <w:rPr>
          <w:b/>
        </w:rPr>
      </w:pPr>
    </w:p>
    <w:p w:rsidR="00372E89" w:rsidRDefault="00477BD9">
      <w:pPr>
        <w:rPr>
          <w:b/>
        </w:rPr>
      </w:pPr>
      <w:r w:rsidRPr="001827D7">
        <w:rPr>
          <w:b/>
        </w:rPr>
        <w:t>3.6.</w:t>
      </w:r>
      <w:r w:rsidR="00D67C39" w:rsidRPr="001827D7">
        <w:rPr>
          <w:b/>
        </w:rPr>
        <w:t xml:space="preserve"> </w:t>
      </w:r>
      <w:r w:rsidRPr="001827D7">
        <w:rPr>
          <w:b/>
        </w:rPr>
        <w:t>Vyjmenujte, kterým matematickým aparátem můžeme počítat s polarizačními stavy optického záření.</w:t>
      </w:r>
    </w:p>
    <w:p w:rsidR="00184ABB" w:rsidRDefault="00184ABB">
      <w:r>
        <w:t>Popis polarizace optického záření</w:t>
      </w:r>
      <w:r>
        <w:t>:</w:t>
      </w:r>
    </w:p>
    <w:p w:rsidR="00184ABB" w:rsidRDefault="00184ABB">
      <w:r>
        <w:t xml:space="preserve"> ◦ </w:t>
      </w:r>
      <w:proofErr w:type="spellStart"/>
      <w:r>
        <w:t>Poincarého</w:t>
      </w:r>
      <w:proofErr w:type="spellEnd"/>
      <w:r>
        <w:t xml:space="preserve"> koule</w:t>
      </w:r>
    </w:p>
    <w:p w:rsidR="00184ABB" w:rsidRDefault="00184ABB">
      <w:r>
        <w:t xml:space="preserve"> ◦ </w:t>
      </w:r>
      <w:proofErr w:type="spellStart"/>
      <w:r>
        <w:t>Stokesovy</w:t>
      </w:r>
      <w:proofErr w:type="spellEnd"/>
      <w:r>
        <w:t xml:space="preserve"> parametry </w:t>
      </w:r>
    </w:p>
    <w:p w:rsidR="00184ABB" w:rsidRDefault="00184ABB">
      <w:r>
        <w:t xml:space="preserve">◦ Mullerův kalkulus </w:t>
      </w:r>
    </w:p>
    <w:p w:rsidR="00184ABB" w:rsidRDefault="00184ABB">
      <w:r>
        <w:t xml:space="preserve">◦ </w:t>
      </w:r>
      <w:proofErr w:type="spellStart"/>
      <w:r>
        <w:t>Jonesovy</w:t>
      </w:r>
      <w:proofErr w:type="spellEnd"/>
      <w:r>
        <w:t xml:space="preserve"> matice </w:t>
      </w:r>
    </w:p>
    <w:p w:rsidR="00184ABB" w:rsidRDefault="00184ABB">
      <w:proofErr w:type="spellStart"/>
      <w:r>
        <w:t>Jonesovy</w:t>
      </w:r>
      <w:proofErr w:type="spellEnd"/>
      <w:r>
        <w:t xml:space="preserve"> vektory – popis optického záření </w:t>
      </w:r>
    </w:p>
    <w:p w:rsidR="00184ABB" w:rsidRDefault="00184ABB">
      <w:proofErr w:type="spellStart"/>
      <w:r>
        <w:t>Jone</w:t>
      </w:r>
      <w:r w:rsidR="00D64B71">
        <w:t>sovy</w:t>
      </w:r>
      <w:proofErr w:type="spellEnd"/>
      <w:r w:rsidR="00D64B71">
        <w:t xml:space="preserve"> matice – popis polarizačních</w:t>
      </w:r>
      <w:r>
        <w:t xml:space="preserve"> komponent</w:t>
      </w:r>
    </w:p>
    <w:p w:rsidR="00D64B71" w:rsidRDefault="00184ABB">
      <w:r>
        <w:t xml:space="preserve">Na základě řetězce polarizačních komponent T a znalosti vstupního </w:t>
      </w:r>
      <w:proofErr w:type="spellStart"/>
      <w:r>
        <w:t>Jonesova</w:t>
      </w:r>
      <w:proofErr w:type="spellEnd"/>
      <w:r>
        <w:t xml:space="preserve"> vektoru J</w:t>
      </w:r>
      <w:r w:rsidRPr="00D64B71">
        <w:rPr>
          <w:vertAlign w:val="subscript"/>
        </w:rPr>
        <w:t>1</w:t>
      </w:r>
      <w:r>
        <w:t xml:space="preserve"> jsme schopni vypočítat výstupní polarizaci J</w:t>
      </w:r>
      <w:r w:rsidRPr="00D64B71">
        <w:rPr>
          <w:vertAlign w:val="subscript"/>
        </w:rPr>
        <w:t>2</w:t>
      </w:r>
      <w:r>
        <w:t xml:space="preserve"> z transformačního sys</w:t>
      </w:r>
      <w:bookmarkStart w:id="0" w:name="_GoBack"/>
      <w:bookmarkEnd w:id="0"/>
      <w:r>
        <w:t>tému. T</w:t>
      </w:r>
      <w:r w:rsidRPr="00D64B71">
        <w:rPr>
          <w:vertAlign w:val="subscript"/>
        </w:rPr>
        <w:t>1</w:t>
      </w:r>
      <w:r>
        <w:t xml:space="preserve"> je hned za vstupem do systému, </w:t>
      </w:r>
      <w:proofErr w:type="spellStart"/>
      <w:r>
        <w:t>T</w:t>
      </w:r>
      <w:r w:rsidRPr="00D64B71">
        <w:rPr>
          <w:vertAlign w:val="subscript"/>
        </w:rPr>
        <w:t>n</w:t>
      </w:r>
      <w:proofErr w:type="spellEnd"/>
      <w:r>
        <w:t xml:space="preserve"> je poslední komponenta před výstupem ze systému. </w:t>
      </w:r>
    </w:p>
    <w:p w:rsidR="00184ABB" w:rsidRPr="001827D7" w:rsidRDefault="00184ABB" w:rsidP="00D64B71">
      <w:pPr>
        <w:jc w:val="center"/>
        <w:rPr>
          <w:b/>
        </w:rPr>
      </w:pPr>
      <w:r>
        <w:rPr>
          <w:rFonts w:ascii="Cambria Math" w:hAnsi="Cambria Math" w:cs="Cambria Math"/>
        </w:rPr>
        <w:t>𝐽</w:t>
      </w:r>
      <w:r w:rsidRPr="00D64B71">
        <w:rPr>
          <w:vertAlign w:val="subscript"/>
        </w:rPr>
        <w:t>2</w:t>
      </w:r>
      <w:r>
        <w:t xml:space="preserve"> = </w:t>
      </w:r>
      <w:r>
        <w:rPr>
          <w:rFonts w:ascii="Cambria Math" w:hAnsi="Cambria Math" w:cs="Cambria Math"/>
        </w:rPr>
        <w:t>𝑇</w:t>
      </w:r>
      <w:r w:rsidRPr="00D64B71">
        <w:rPr>
          <w:rFonts w:ascii="Cambria Math" w:hAnsi="Cambria Math" w:cs="Cambria Math"/>
          <w:vertAlign w:val="subscript"/>
        </w:rPr>
        <w:t>𝑛</w:t>
      </w:r>
      <w:r>
        <w:t xml:space="preserve"> … </w:t>
      </w:r>
      <w:r>
        <w:rPr>
          <w:rFonts w:ascii="Cambria Math" w:hAnsi="Cambria Math" w:cs="Cambria Math"/>
        </w:rPr>
        <w:t>𝑇</w:t>
      </w:r>
      <w:r w:rsidRPr="00D64B71">
        <w:rPr>
          <w:vertAlign w:val="subscript"/>
        </w:rPr>
        <w:t>3</w:t>
      </w:r>
      <w:r>
        <w:t xml:space="preserve"> ∙ </w:t>
      </w:r>
      <w:r>
        <w:rPr>
          <w:rFonts w:ascii="Cambria Math" w:hAnsi="Cambria Math" w:cs="Cambria Math"/>
        </w:rPr>
        <w:t>𝑇</w:t>
      </w:r>
      <w:r w:rsidRPr="00D64B71">
        <w:rPr>
          <w:vertAlign w:val="subscript"/>
        </w:rPr>
        <w:t>2</w:t>
      </w:r>
      <w:r>
        <w:t xml:space="preserve"> ∙ </w:t>
      </w:r>
      <w:r>
        <w:rPr>
          <w:rFonts w:ascii="Cambria Math" w:hAnsi="Cambria Math" w:cs="Cambria Math"/>
        </w:rPr>
        <w:t>𝑇</w:t>
      </w:r>
      <w:r w:rsidRPr="00D64B71">
        <w:rPr>
          <w:vertAlign w:val="subscript"/>
        </w:rPr>
        <w:t>1</w:t>
      </w:r>
      <w:r>
        <w:t xml:space="preserve"> ∙ </w:t>
      </w:r>
      <w:r>
        <w:rPr>
          <w:rFonts w:ascii="Cambria Math" w:hAnsi="Cambria Math" w:cs="Cambria Math"/>
        </w:rPr>
        <w:t>𝐽</w:t>
      </w:r>
      <w:r w:rsidRPr="00D64B71">
        <w:rPr>
          <w:vertAlign w:val="subscript"/>
        </w:rPr>
        <w:t>1</w:t>
      </w:r>
    </w:p>
    <w:sectPr w:rsidR="00184ABB" w:rsidRPr="00182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21"/>
    <w:rsid w:val="001827D7"/>
    <w:rsid w:val="00184ABB"/>
    <w:rsid w:val="00204432"/>
    <w:rsid w:val="00372E89"/>
    <w:rsid w:val="00477BD9"/>
    <w:rsid w:val="004943B2"/>
    <w:rsid w:val="00A75E21"/>
    <w:rsid w:val="00BF3094"/>
    <w:rsid w:val="00D64B71"/>
    <w:rsid w:val="00D67C39"/>
    <w:rsid w:val="00F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E475C-5903-4583-AACA-C6A1C8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cs-CZ"/>
    </w:rPr>
  </w:style>
  <w:style w:type="paragraph" w:styleId="Nadpis1">
    <w:name w:val="heading 1"/>
    <w:basedOn w:val="Normlny"/>
    <w:next w:val="Normlny"/>
    <w:link w:val="Nadpis1Char"/>
    <w:qFormat/>
    <w:rsid w:val="00477BD9"/>
    <w:pPr>
      <w:keepNext/>
      <w:spacing w:before="12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adpis3">
    <w:name w:val="heading 3"/>
    <w:basedOn w:val="Normlny"/>
    <w:next w:val="Normlny"/>
    <w:link w:val="Nadpis3Char"/>
    <w:qFormat/>
    <w:rsid w:val="00477BD9"/>
    <w:pPr>
      <w:keepNext/>
      <w:spacing w:before="120" w:after="6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77BD9"/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477BD9"/>
    <w:rPr>
      <w:rFonts w:ascii="Arial" w:eastAsia="Times New Roman" w:hAnsi="Arial" w:cs="Arial"/>
      <w:b/>
      <w:bCs/>
      <w:sz w:val="24"/>
      <w:szCs w:val="24"/>
      <w:lang w:val="cs-CZ" w:eastAsia="cs-CZ"/>
    </w:rPr>
  </w:style>
  <w:style w:type="paragraph" w:customStyle="1" w:styleId="StylStylTahoma10bPed3b">
    <w:name w:val="Styl Styl Tahoma 10 b. + Před:  3 b."/>
    <w:basedOn w:val="Normlny"/>
    <w:rsid w:val="00477BD9"/>
    <w:pPr>
      <w:spacing w:before="60"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Burčo</dc:creator>
  <cp:keywords/>
  <dc:description/>
  <cp:lastModifiedBy>Matúš Burčo</cp:lastModifiedBy>
  <cp:revision>4</cp:revision>
  <dcterms:created xsi:type="dcterms:W3CDTF">2021-03-03T11:32:00Z</dcterms:created>
  <dcterms:modified xsi:type="dcterms:W3CDTF">2021-03-03T12:43:00Z</dcterms:modified>
</cp:coreProperties>
</file>