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9F9B" w14:textId="416F25F9" w:rsidR="00AB2DB8" w:rsidRPr="00AB2DB8" w:rsidRDefault="00EE1D3F" w:rsidP="00AB2DB8">
      <w:pPr>
        <w:jc w:val="center"/>
        <w:rPr>
          <w:b/>
          <w:bCs/>
        </w:rPr>
      </w:pPr>
      <w:r>
        <w:rPr>
          <w:b/>
          <w:bCs/>
        </w:rPr>
        <w:t>03.</w:t>
      </w:r>
      <w:r w:rsidR="00AB2DB8">
        <w:rPr>
          <w:b/>
          <w:bCs/>
        </w:rPr>
        <w:t xml:space="preserve">ANGOLI E </w:t>
      </w:r>
      <w:r>
        <w:rPr>
          <w:b/>
          <w:bCs/>
        </w:rPr>
        <w:t xml:space="preserve">PROIEZIONI </w:t>
      </w:r>
      <w:r w:rsidR="00615F60">
        <w:rPr>
          <w:b/>
          <w:bCs/>
        </w:rPr>
        <w:t>ORTOGONALI</w:t>
      </w:r>
    </w:p>
    <w:p w14:paraId="3BD29105" w14:textId="7B183393" w:rsidR="00AB2DB8" w:rsidRPr="00AB2DB8" w:rsidRDefault="00AB2DB8" w:rsidP="00AB2DB8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ANGOLO THETA</w:t>
      </w:r>
    </w:p>
    <w:p w14:paraId="02C3E22A" w14:textId="756BD26B" w:rsidR="00AB2DB8" w:rsidRPr="003858D1" w:rsidRDefault="00AB2DB8" w:rsidP="003858D1">
      <w:pPr>
        <w:pStyle w:val="Paragrafoelenco"/>
        <w:rPr>
          <w:rFonts w:ascii="Calibri" w:hAnsi="Calibri" w:cs="Calibri"/>
        </w:rPr>
      </w:pPr>
      <w:r>
        <w:rPr>
          <w:rFonts w:ascii="Calibri" w:hAnsi="Calibri" w:cs="Calibri"/>
        </w:rPr>
        <w:t>Dat</w:t>
      </w:r>
      <w:r w:rsidR="00881D77">
        <w:rPr>
          <w:rFonts w:ascii="Calibri" w:hAnsi="Calibri" w:cs="Calibri"/>
        </w:rPr>
        <w:t>i due</w:t>
      </w:r>
      <w:r>
        <w:rPr>
          <w:rFonts w:ascii="Calibri" w:hAnsi="Calibri" w:cs="Calibri"/>
        </w:rPr>
        <w:t xml:space="preserve"> vettor</w:t>
      </w:r>
      <w:r w:rsidR="00881D77">
        <w:rPr>
          <w:rFonts w:ascii="Calibri" w:hAnsi="Calibri" w:cs="Calibri"/>
        </w:rPr>
        <w:t>i</w:t>
      </w:r>
      <w:r w:rsidR="00C35CDA">
        <w:rPr>
          <w:rFonts w:ascii="Calibri" w:hAnsi="Calibri" w:cs="Calibri"/>
        </w:rPr>
        <w:t xml:space="preserve"> </w:t>
      </w:r>
      <w:r w:rsidR="00E155A2"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</w:t>
      </w:r>
      <w:r w:rsidR="00881D77">
        <w:rPr>
          <w:rFonts w:ascii="Calibri" w:hAnsi="Calibri" w:cs="Calibri"/>
        </w:rPr>
        <w:t xml:space="preserve">e </w:t>
      </w:r>
      <w:r w:rsidR="00E155A2">
        <w:rPr>
          <w:rFonts w:ascii="Calibri" w:hAnsi="Calibri" w:cs="Calibri"/>
          <w:b/>
          <w:bCs/>
        </w:rPr>
        <w:t>v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>l’angolo</w:t>
      </w:r>
      <w:r w:rsidR="00E21CB4">
        <w:rPr>
          <w:rFonts w:ascii="Calibri" w:hAnsi="Calibri" w:cs="Calibri"/>
        </w:rPr>
        <w:t xml:space="preserve"> </w:t>
      </w:r>
      <w:r w:rsidR="00E21CB4">
        <w:rPr>
          <w:rFonts w:ascii="Calibri" w:hAnsi="Calibri" w:cs="Calibri"/>
          <w:b/>
          <w:bCs/>
        </w:rPr>
        <w:t>theta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 xml:space="preserve">tra i due </w:t>
      </w:r>
      <w:r>
        <w:rPr>
          <w:rFonts w:ascii="Calibri" w:hAnsi="Calibri" w:cs="Calibri"/>
        </w:rPr>
        <w:t>può essere calcolato con:</w:t>
      </w:r>
      <w:r w:rsidR="00D0733E" w:rsidRPr="003858D1">
        <w:rPr>
          <w:rFonts w:ascii="Calibri" w:hAnsi="Calibri" w:cs="Calibri"/>
        </w:rPr>
        <w:t xml:space="preserve"> </w:t>
      </w:r>
      <w:r w:rsidR="00D0733E" w:rsidRPr="003858D1">
        <w:rPr>
          <w:rFonts w:ascii="Cambria Math" w:hAnsi="Cambria Math" w:cs="Calibri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Θ=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arccos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u⋅v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≈x°</m:t>
              </m:r>
              <m:ctrlPr>
                <w:rPr>
                  <w:rFonts w:ascii="Cambria Math" w:hAnsi="Cambria Math" w:cs="Calibri"/>
                  <w:i/>
                </w:rPr>
              </m:ctrlPr>
            </m:fName>
            <m:e>
              <m:ctrlPr>
                <w:rPr>
                  <w:rFonts w:ascii="Cambria Math" w:hAnsi="Cambria Math" w:cs="Calibri"/>
                  <w:i/>
                </w:rPr>
              </m:ctrlPr>
            </m:e>
          </m:func>
        </m:oMath>
      </m:oMathPara>
    </w:p>
    <w:p w14:paraId="4B07E003" w14:textId="77777777" w:rsidR="00E56086" w:rsidRPr="00E56086" w:rsidRDefault="00E56086" w:rsidP="00E56086">
      <w:pPr>
        <w:pStyle w:val="Paragrafoelenco"/>
        <w:rPr>
          <w:rFonts w:ascii="Calibri" w:hAnsi="Calibri" w:cs="Calibri"/>
        </w:rPr>
      </w:pPr>
    </w:p>
    <w:p w14:paraId="75551763" w14:textId="0D8ADE66" w:rsidR="00884E00" w:rsidRDefault="003858D1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NOTA:</w:t>
      </w:r>
      <w:r w:rsidR="00CE7723">
        <w:rPr>
          <w:rFonts w:ascii="Cambria Math" w:hAnsi="Cambria Math" w:cs="Calibri"/>
          <w:iCs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</m:t>
                </m:r>
                <m:ctrlPr>
                  <w:rPr>
                    <w:rFonts w:ascii="Cambria Math" w:hAnsi="Cambria Math" w:cs="Calibri"/>
                    <w:iCs/>
                  </w:rPr>
                </m:ctrlP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  <m:ctrlPr>
                  <w:rPr>
                    <w:rFonts w:ascii="Cambria Math" w:hAnsi="Cambria Math" w:cs="Calibri"/>
                    <w:iCs/>
                  </w:rPr>
                </m:ctrlPr>
              </m:sup>
            </m:sSup>
          </m:fName>
          <m:e/>
        </m:func>
        <m:r>
          <w:rPr>
            <w:rFonts w:ascii="Cambria Math" w:hAnsi="Cambria Math" w:cs="Calibri"/>
          </w:rPr>
          <m:t xml:space="preserve"> </m:t>
        </m:r>
      </m:oMath>
      <w:r w:rsidR="00CE7723">
        <w:rPr>
          <w:rFonts w:ascii="Cambria Math" w:hAnsi="Cambria Math" w:cs="Calibri"/>
          <w:iCs/>
        </w:rPr>
        <w:t xml:space="preserve"> è la </w:t>
      </w:r>
      <w:r w:rsidR="00CE7723">
        <w:rPr>
          <w:rFonts w:ascii="Cambria Math" w:hAnsi="Cambria Math" w:cs="Calibri"/>
          <w:b/>
          <w:bCs/>
          <w:iCs/>
        </w:rPr>
        <w:t>funzione inversa del coseno</w:t>
      </w:r>
      <w:r w:rsidR="009642EC">
        <w:rPr>
          <w:rFonts w:ascii="Cambria Math" w:hAnsi="Cambria Math" w:cs="Calibri"/>
          <w:iCs/>
        </w:rPr>
        <w:t>, che si traduce in arcoseno.</w:t>
      </w:r>
    </w:p>
    <w:p w14:paraId="38E7BF6F" w14:textId="77777777" w:rsidR="006555EF" w:rsidRDefault="006555EF" w:rsidP="00AB2DB8">
      <w:pPr>
        <w:pStyle w:val="Paragrafoelenco"/>
        <w:rPr>
          <w:rFonts w:ascii="Cambria Math" w:hAnsi="Cambria Math" w:cs="Calibri"/>
          <w:iCs/>
        </w:rPr>
      </w:pPr>
    </w:p>
    <w:p w14:paraId="51A886E3" w14:textId="4F5151AC" w:rsidR="00CE7723" w:rsidRDefault="00884E00" w:rsidP="00AB2DB8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>Il risultato del</w:t>
      </w:r>
      <w:r>
        <w:rPr>
          <w:rFonts w:ascii="Cambria Math" w:hAnsi="Cambria Math" w:cs="Calibri"/>
          <w:b/>
          <w:bCs/>
          <w:iCs/>
        </w:rPr>
        <w:t xml:space="preserve"> prodotto scalare </w:t>
      </w:r>
      <w:r>
        <w:rPr>
          <w:rFonts w:ascii="Cambria Math" w:hAnsi="Cambria Math" w:cs="Calibri"/>
          <w:iCs/>
        </w:rPr>
        <w:t>viene diviso per la moltiplicazione tra le magnitudini dei due vettori.</w:t>
      </w:r>
      <w:r w:rsidR="00CE7723">
        <w:rPr>
          <w:rFonts w:ascii="Cambria Math" w:hAnsi="Cambria Math" w:cs="Calibri"/>
          <w:iCs/>
        </w:rPr>
        <w:t xml:space="preserve"> </w:t>
      </w:r>
      <w:r w:rsidR="00403595">
        <w:rPr>
          <w:rFonts w:ascii="Cambria Math" w:hAnsi="Cambria Math" w:cs="Calibri"/>
          <w:iCs/>
        </w:rPr>
        <w:t>L’Arcoseno viene applicato al risultato finale</w:t>
      </w:r>
      <w:r w:rsidR="006555EF">
        <w:rPr>
          <w:rFonts w:ascii="Cambria Math" w:hAnsi="Cambria Math" w:cs="Calibri"/>
          <w:iCs/>
        </w:rPr>
        <w:t xml:space="preserve">, producendo un valore in gradi </w:t>
      </w:r>
      <w:r w:rsidR="006555EF">
        <w:rPr>
          <w:rFonts w:ascii="Cambria Math" w:hAnsi="Cambria Math" w:cs="Calibri"/>
          <w:b/>
          <w:bCs/>
          <w:iCs/>
        </w:rPr>
        <w:t xml:space="preserve">quasi uguale </w:t>
      </w:r>
      <w:r w:rsidR="006555EF">
        <w:rPr>
          <w:rFonts w:ascii="Cambria Math" w:hAnsi="Cambria Math" w:cs="Calibri"/>
          <w:iCs/>
        </w:rPr>
        <w:t xml:space="preserve">a </w:t>
      </w:r>
      <w:r w:rsidR="006555EF">
        <w:rPr>
          <w:rFonts w:ascii="Cambria Math" w:hAnsi="Cambria Math" w:cs="Calibri"/>
          <w:b/>
          <w:bCs/>
          <w:iCs/>
        </w:rPr>
        <w:t>x.</w:t>
      </w:r>
    </w:p>
    <w:p w14:paraId="32C84788" w14:textId="77777777" w:rsid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19FCF23A" w14:textId="348B1517" w:rsidR="002016E3" w:rsidRDefault="002F4BCE" w:rsidP="002F4BC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Per </w:t>
      </w:r>
      <w:r>
        <w:rPr>
          <w:rFonts w:ascii="Cambria Math" w:hAnsi="Cambria Math" w:cs="Calibri"/>
          <w:b/>
          <w:bCs/>
          <w:iCs/>
        </w:rPr>
        <w:t>theta</w:t>
      </w:r>
      <w:r>
        <w:rPr>
          <w:rFonts w:ascii="Cambria Math" w:hAnsi="Cambria Math" w:cs="Calibri"/>
          <w:iCs/>
        </w:rPr>
        <w:t xml:space="preserve"> prendiamo in considerazione l’angolo compreso tra </w:t>
      </w:r>
      <w:r w:rsidRPr="003B68FB">
        <w:rPr>
          <w:rFonts w:ascii="Cambria Math" w:hAnsi="Cambria Math" w:cs="Calibri"/>
          <w:iCs/>
        </w:rPr>
        <w:t>0</w:t>
      </w:r>
      <w:r>
        <w:rPr>
          <w:rFonts w:ascii="Cambria Math" w:hAnsi="Cambria Math" w:cs="Calibri"/>
          <w:iCs/>
        </w:rPr>
        <w:t xml:space="preserve"> e </w:t>
      </w:r>
      <w:r w:rsidRPr="003B68FB">
        <w:rPr>
          <w:rFonts w:ascii="Cambria Math" w:hAnsi="Cambria Math" w:cs="Calibri"/>
          <w:b/>
          <w:bCs/>
          <w:iCs/>
        </w:rPr>
        <w:t>π</w:t>
      </w:r>
      <w:r>
        <w:rPr>
          <w:rFonts w:ascii="Cambria Math" w:hAnsi="Cambria Math" w:cs="Calibri"/>
          <w:iCs/>
        </w:rPr>
        <w:t xml:space="preserve"> (pigreco)</w:t>
      </w:r>
    </w:p>
    <w:p w14:paraId="76A8E113" w14:textId="77777777" w:rsidR="002F4BCE" w:rsidRP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56981946" w14:textId="4562A201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  <w:r w:rsidRPr="002016E3">
        <w:rPr>
          <w:rFonts w:ascii="Cambria Math" w:hAnsi="Cambria Math" w:cs="Calibri"/>
          <w:b/>
          <w:bCs/>
          <w:iCs/>
          <w:noProof/>
        </w:rPr>
        <w:drawing>
          <wp:inline distT="0" distB="0" distL="0" distR="0" wp14:anchorId="73EDC9A4" wp14:editId="44547E6F">
            <wp:extent cx="2088706" cy="746760"/>
            <wp:effectExtent l="0" t="0" r="6985" b="0"/>
            <wp:docPr id="1540932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685" cy="7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504" w14:textId="25F16439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</w:p>
    <w:p w14:paraId="1FF681C5" w14:textId="2ECBC60A" w:rsidR="00402283" w:rsidRDefault="00402283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Per l</w:t>
      </w:r>
      <w:r w:rsidR="00861D1B">
        <w:rPr>
          <w:rFonts w:ascii="Cambria Math" w:hAnsi="Cambria Math" w:cs="Calibri"/>
          <w:iCs/>
        </w:rPr>
        <w:t xml:space="preserve">e </w:t>
      </w:r>
      <w:r w:rsidR="00861D1B">
        <w:rPr>
          <w:rFonts w:ascii="Cambria Math" w:hAnsi="Cambria Math" w:cs="Calibri"/>
          <w:b/>
          <w:bCs/>
          <w:iCs/>
        </w:rPr>
        <w:t>proprietà del prodotto scalare</w:t>
      </w:r>
      <w:r>
        <w:rPr>
          <w:rFonts w:ascii="Cambria Math" w:hAnsi="Cambria Math" w:cs="Calibri"/>
          <w:iCs/>
        </w:rPr>
        <w:t>:</w:t>
      </w:r>
    </w:p>
    <w:p w14:paraId="7F1DB9D0" w14:textId="77777777" w:rsidR="002F4BCE" w:rsidRDefault="002F4BCE" w:rsidP="00AB2DB8">
      <w:pPr>
        <w:pStyle w:val="Paragrafoelenco"/>
        <w:rPr>
          <w:rFonts w:ascii="Cambria Math" w:hAnsi="Cambria Math" w:cs="Calibri"/>
          <w:iCs/>
        </w:rPr>
      </w:pPr>
    </w:p>
    <w:p w14:paraId="5533786C" w14:textId="7A4674C2" w:rsidR="00C40A8E" w:rsidRPr="006C1F5B" w:rsidRDefault="00C40A8E" w:rsidP="00402283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= 0 allora </w:t>
      </w:r>
      <m:oMath>
        <m:r>
          <w:rPr>
            <w:rFonts w:ascii="Cambria Math" w:hAnsi="Cambria Math" w:cs="Calibri"/>
          </w:rPr>
          <m:t>u ⟂ v</m:t>
        </m:r>
      </m:oMath>
      <w:r>
        <w:rPr>
          <w:rFonts w:ascii="Cambria Math" w:hAnsi="Cambria Math" w:cs="Calibri"/>
        </w:rPr>
        <w:t xml:space="preserve"> i vettori sono </w:t>
      </w:r>
      <w:r w:rsidRPr="00C63F0A">
        <w:rPr>
          <w:rFonts w:ascii="Cambria Math" w:hAnsi="Cambria Math" w:cs="Calibri"/>
          <w:b/>
          <w:bCs/>
        </w:rPr>
        <w:t>perpendicolari/ortogonali</w:t>
      </w:r>
      <w:r>
        <w:rPr>
          <w:rFonts w:ascii="Cambria Math" w:hAnsi="Cambria Math" w:cs="Calibri"/>
        </w:rPr>
        <w:t xml:space="preserve"> (</w:t>
      </w:r>
      <w:r w:rsidR="00630546">
        <w:rPr>
          <w:rFonts w:ascii="Cambria Math" w:hAnsi="Cambria Math" w:cs="Calibri"/>
        </w:rPr>
        <w:t>angolo a</w:t>
      </w:r>
      <w:r>
        <w:rPr>
          <w:rFonts w:ascii="Cambria Math" w:hAnsi="Cambria Math" w:cs="Calibri"/>
        </w:rPr>
        <w:t xml:space="preserve">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>)</w:t>
      </w:r>
    </w:p>
    <w:p w14:paraId="7559B39F" w14:textId="0CE550C9" w:rsidR="001B1CD4" w:rsidRPr="006C1F5B" w:rsidRDefault="001B1CD4" w:rsidP="001B1CD4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&gt; 0 allora theta è </w:t>
      </w:r>
      <w:r w:rsidR="00BE1DDE">
        <w:rPr>
          <w:rFonts w:ascii="Cambria Math" w:hAnsi="Cambria Math" w:cs="Calibri"/>
        </w:rPr>
        <w:t xml:space="preserve">minore di </w:t>
      </w:r>
      <w:r w:rsidRPr="00C63F0A">
        <w:rPr>
          <w:rFonts w:ascii="Cambria Math" w:hAnsi="Cambria Math" w:cs="Calibri"/>
          <w:b/>
          <w:bCs/>
        </w:rPr>
        <w:t>90°</w:t>
      </w:r>
      <w:r w:rsidR="00BE1DDE">
        <w:rPr>
          <w:rFonts w:ascii="Cambria Math" w:hAnsi="Cambria Math" w:cs="Calibri"/>
        </w:rPr>
        <w:t xml:space="preserve"> (angolo acuto)</w:t>
      </w:r>
    </w:p>
    <w:p w14:paraId="474CD900" w14:textId="61BBCFF0" w:rsidR="007B7512" w:rsidRPr="00E651B6" w:rsidRDefault="00BE1DDE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&lt; 0 allora theta è maggiore di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 xml:space="preserve"> (angolo ottuso)</w:t>
      </w:r>
    </w:p>
    <w:p w14:paraId="3DE187DC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14B89CEF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3C0614EB" w14:textId="2B8AA348" w:rsidR="00E651B6" w:rsidRPr="00E651B6" w:rsidRDefault="00D270CF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b/>
          <w:bCs/>
          <w:iCs/>
        </w:rPr>
        <w:t>PROIEZIONE ORTOGONALE</w:t>
      </w:r>
    </w:p>
    <w:p w14:paraId="775311BC" w14:textId="1164CD6E" w:rsidR="009E384E" w:rsidRDefault="00E651B6" w:rsidP="009E384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Dat</w:t>
      </w:r>
      <w:r w:rsidR="00C200DA">
        <w:rPr>
          <w:rFonts w:ascii="Cambria Math" w:hAnsi="Cambria Math" w:cs="Calibri"/>
          <w:iCs/>
        </w:rPr>
        <w:t>i due vettori</w:t>
      </w:r>
      <w:r>
        <w:rPr>
          <w:rFonts w:ascii="Cambria Math" w:hAnsi="Cambria Math" w:cs="Calibri"/>
          <w:iCs/>
        </w:rPr>
        <w:t xml:space="preserve"> (n, v) dove n è normalizzato</w:t>
      </w:r>
      <w:r w:rsidR="002B4495">
        <w:rPr>
          <w:rFonts w:ascii="Cambria Math" w:hAnsi="Cambria Math" w:cs="Calibri"/>
          <w:iCs/>
        </w:rPr>
        <w:t>:</w:t>
      </w:r>
    </w:p>
    <w:p w14:paraId="3C97B8DE" w14:textId="183E5D7B" w:rsidR="002B4495" w:rsidRPr="002B4495" w:rsidRDefault="002B4495" w:rsidP="009E384E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v·n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n</m:t>
          </m:r>
        </m:oMath>
      </m:oMathPara>
    </w:p>
    <w:p w14:paraId="084A4F1A" w14:textId="1A1D4364" w:rsidR="00BA7C49" w:rsidRDefault="0081048A" w:rsidP="00BA7C49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 xml:space="preserve">Il prodotto scalare viene diviso per la magnitudine del vettore normalizzato. Il risultato viene moltiplicato per </w:t>
      </w:r>
      <w:r>
        <w:rPr>
          <w:rFonts w:ascii="Cambria Math" w:hAnsi="Cambria Math" w:cs="Calibri"/>
          <w:b/>
          <w:bCs/>
          <w:iCs/>
        </w:rPr>
        <w:t>ciascun componente del vettore normalizzato.</w:t>
      </w:r>
      <w:r w:rsidR="00BA7C49">
        <w:rPr>
          <w:rFonts w:ascii="Cambria Math" w:hAnsi="Cambria Math" w:cs="Calibri"/>
          <w:b/>
          <w:bCs/>
          <w:iCs/>
        </w:rPr>
        <w:t xml:space="preserve"> </w:t>
      </w:r>
    </w:p>
    <w:p w14:paraId="236C73BA" w14:textId="1EA20B93" w:rsidR="00D945A5" w:rsidRPr="00611B27" w:rsidRDefault="00BE7741" w:rsidP="00611B27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Il risultato è il valore da sottrarre al vettore per renderlo </w:t>
      </w:r>
      <w:r>
        <w:rPr>
          <w:rFonts w:ascii="Cambria Math" w:hAnsi="Cambria Math" w:cs="Calibri"/>
          <w:b/>
          <w:bCs/>
          <w:iCs/>
        </w:rPr>
        <w:t>ortogonale</w:t>
      </w:r>
      <w:r>
        <w:rPr>
          <w:rFonts w:ascii="Cambria Math" w:hAnsi="Cambria Math" w:cs="Calibri"/>
          <w:iCs/>
        </w:rPr>
        <w:t xml:space="preserve"> rispetto al vettore normalizzato.</w:t>
      </w:r>
      <w:r w:rsidR="00C1377D">
        <w:rPr>
          <w:rFonts w:ascii="Cambria Math" w:hAnsi="Cambria Math" w:cs="Calibri"/>
          <w:iCs/>
        </w:rPr>
        <w:t xml:space="preserve"> L’algoritmo di </w:t>
      </w:r>
      <w:r w:rsidR="00C1377D">
        <w:rPr>
          <w:rFonts w:ascii="Cambria Math" w:hAnsi="Cambria Math" w:cs="Calibri"/>
          <w:b/>
          <w:bCs/>
          <w:iCs/>
        </w:rPr>
        <w:t>Gram-Schmidt</w:t>
      </w:r>
      <w:r w:rsidR="00C1377D">
        <w:rPr>
          <w:rFonts w:ascii="Cambria Math" w:hAnsi="Cambria Math" w:cs="Calibri"/>
          <w:iCs/>
        </w:rPr>
        <w:t xml:space="preserve"> integra questo sistema.</w:t>
      </w:r>
      <w:r w:rsidR="00E744F9" w:rsidRPr="00611B27">
        <w:rPr>
          <w:rFonts w:ascii="Cambria Math" w:hAnsi="Cambria Math" w:cs="Calibri"/>
          <w:iCs/>
        </w:rPr>
        <w:t xml:space="preserve"> </w:t>
      </w:r>
    </w:p>
    <w:p w14:paraId="4E2368B5" w14:textId="32F93399" w:rsidR="00F2447E" w:rsidRPr="0043175D" w:rsidRDefault="005F2F38" w:rsidP="0043175D">
      <w:pPr>
        <w:pStyle w:val="Paragrafoelenco"/>
        <w:rPr>
          <w:rFonts w:ascii="Cambria Math" w:hAnsi="Cambria Math" w:cs="Calibri"/>
          <w:b/>
          <w:bCs/>
          <w:iCs/>
        </w:rPr>
      </w:pPr>
      <w:r w:rsidRPr="00D945A5">
        <w:rPr>
          <w:rFonts w:ascii="Cambria Math" w:hAnsi="Cambria Math" w:cs="Calibri"/>
          <w:iCs/>
          <w:noProof/>
        </w:rPr>
        <w:drawing>
          <wp:inline distT="0" distB="0" distL="0" distR="0" wp14:anchorId="7D88256E" wp14:editId="49B565E4">
            <wp:extent cx="3331306" cy="1226820"/>
            <wp:effectExtent l="0" t="0" r="2540" b="0"/>
            <wp:docPr id="954557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7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824" cy="12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7E" w:rsidRPr="0043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2"/>
  </w:num>
  <w:num w:numId="2" w16cid:durableId="663893595">
    <w:abstractNumId w:val="3"/>
  </w:num>
  <w:num w:numId="3" w16cid:durableId="1692759836">
    <w:abstractNumId w:val="4"/>
  </w:num>
  <w:num w:numId="4" w16cid:durableId="1087076001">
    <w:abstractNumId w:val="1"/>
  </w:num>
  <w:num w:numId="5" w16cid:durableId="176876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1A43"/>
    <w:rsid w:val="00024984"/>
    <w:rsid w:val="000A0DFD"/>
    <w:rsid w:val="000D39FE"/>
    <w:rsid w:val="0010791A"/>
    <w:rsid w:val="001527C0"/>
    <w:rsid w:val="00156D16"/>
    <w:rsid w:val="00191631"/>
    <w:rsid w:val="00192DE8"/>
    <w:rsid w:val="001B1CD4"/>
    <w:rsid w:val="001E08CC"/>
    <w:rsid w:val="001E1A6A"/>
    <w:rsid w:val="002016E3"/>
    <w:rsid w:val="00265C0C"/>
    <w:rsid w:val="00271793"/>
    <w:rsid w:val="002B4495"/>
    <w:rsid w:val="002C227A"/>
    <w:rsid w:val="002E5EDC"/>
    <w:rsid w:val="002F4BCE"/>
    <w:rsid w:val="002F5356"/>
    <w:rsid w:val="0030335C"/>
    <w:rsid w:val="00314622"/>
    <w:rsid w:val="00331264"/>
    <w:rsid w:val="00340A80"/>
    <w:rsid w:val="003858D1"/>
    <w:rsid w:val="0038773F"/>
    <w:rsid w:val="003A10CC"/>
    <w:rsid w:val="003A2A6E"/>
    <w:rsid w:val="003B68FB"/>
    <w:rsid w:val="003D2E0C"/>
    <w:rsid w:val="003E56AB"/>
    <w:rsid w:val="00402283"/>
    <w:rsid w:val="00403595"/>
    <w:rsid w:val="0043175D"/>
    <w:rsid w:val="00476FDE"/>
    <w:rsid w:val="004A7A37"/>
    <w:rsid w:val="004D75D9"/>
    <w:rsid w:val="004F4FDF"/>
    <w:rsid w:val="00500A00"/>
    <w:rsid w:val="0050470D"/>
    <w:rsid w:val="00552950"/>
    <w:rsid w:val="00560219"/>
    <w:rsid w:val="00570841"/>
    <w:rsid w:val="005A38D5"/>
    <w:rsid w:val="005F2F38"/>
    <w:rsid w:val="005F43CB"/>
    <w:rsid w:val="00611B27"/>
    <w:rsid w:val="00615F60"/>
    <w:rsid w:val="00630546"/>
    <w:rsid w:val="00642267"/>
    <w:rsid w:val="006461E8"/>
    <w:rsid w:val="006555EF"/>
    <w:rsid w:val="00663C33"/>
    <w:rsid w:val="00680453"/>
    <w:rsid w:val="00683EDB"/>
    <w:rsid w:val="006911B6"/>
    <w:rsid w:val="006947F8"/>
    <w:rsid w:val="006971A0"/>
    <w:rsid w:val="006A2673"/>
    <w:rsid w:val="006C1F5B"/>
    <w:rsid w:val="006D5C81"/>
    <w:rsid w:val="006E4ED5"/>
    <w:rsid w:val="006F48C9"/>
    <w:rsid w:val="006F4C60"/>
    <w:rsid w:val="00706012"/>
    <w:rsid w:val="00781517"/>
    <w:rsid w:val="00785CE9"/>
    <w:rsid w:val="007A5617"/>
    <w:rsid w:val="007B7512"/>
    <w:rsid w:val="00803061"/>
    <w:rsid w:val="0081048A"/>
    <w:rsid w:val="008212C1"/>
    <w:rsid w:val="0086131B"/>
    <w:rsid w:val="00861D1B"/>
    <w:rsid w:val="008735A7"/>
    <w:rsid w:val="00881D77"/>
    <w:rsid w:val="00884E00"/>
    <w:rsid w:val="008A089F"/>
    <w:rsid w:val="008A6C02"/>
    <w:rsid w:val="008E5FE1"/>
    <w:rsid w:val="008F7A71"/>
    <w:rsid w:val="0090367D"/>
    <w:rsid w:val="00922EE3"/>
    <w:rsid w:val="009642EC"/>
    <w:rsid w:val="00981D55"/>
    <w:rsid w:val="009976DB"/>
    <w:rsid w:val="009D22E5"/>
    <w:rsid w:val="009E384E"/>
    <w:rsid w:val="00A135C8"/>
    <w:rsid w:val="00A55F7E"/>
    <w:rsid w:val="00A578A0"/>
    <w:rsid w:val="00A77015"/>
    <w:rsid w:val="00AA706D"/>
    <w:rsid w:val="00AB2DB8"/>
    <w:rsid w:val="00B86BAA"/>
    <w:rsid w:val="00BA7C49"/>
    <w:rsid w:val="00BB42D2"/>
    <w:rsid w:val="00BC2B7E"/>
    <w:rsid w:val="00BD673B"/>
    <w:rsid w:val="00BE1DDE"/>
    <w:rsid w:val="00BE7741"/>
    <w:rsid w:val="00C02A18"/>
    <w:rsid w:val="00C1377D"/>
    <w:rsid w:val="00C200DA"/>
    <w:rsid w:val="00C26053"/>
    <w:rsid w:val="00C35CDA"/>
    <w:rsid w:val="00C40A8E"/>
    <w:rsid w:val="00C47F47"/>
    <w:rsid w:val="00C56301"/>
    <w:rsid w:val="00C63F0A"/>
    <w:rsid w:val="00C97F0C"/>
    <w:rsid w:val="00CB0E48"/>
    <w:rsid w:val="00CB72B7"/>
    <w:rsid w:val="00CE7723"/>
    <w:rsid w:val="00CF5062"/>
    <w:rsid w:val="00D06A95"/>
    <w:rsid w:val="00D0733E"/>
    <w:rsid w:val="00D1019A"/>
    <w:rsid w:val="00D2064E"/>
    <w:rsid w:val="00D270CF"/>
    <w:rsid w:val="00D31A1B"/>
    <w:rsid w:val="00D42909"/>
    <w:rsid w:val="00D748DE"/>
    <w:rsid w:val="00D812E7"/>
    <w:rsid w:val="00D945A5"/>
    <w:rsid w:val="00DC0E6A"/>
    <w:rsid w:val="00DD2B7D"/>
    <w:rsid w:val="00DF580E"/>
    <w:rsid w:val="00E155A2"/>
    <w:rsid w:val="00E21632"/>
    <w:rsid w:val="00E21CB4"/>
    <w:rsid w:val="00E34CDB"/>
    <w:rsid w:val="00E37E7F"/>
    <w:rsid w:val="00E47917"/>
    <w:rsid w:val="00E56086"/>
    <w:rsid w:val="00E61E3D"/>
    <w:rsid w:val="00E651B6"/>
    <w:rsid w:val="00E744F9"/>
    <w:rsid w:val="00EE1712"/>
    <w:rsid w:val="00EE1D3F"/>
    <w:rsid w:val="00EE3CEC"/>
    <w:rsid w:val="00EE6E40"/>
    <w:rsid w:val="00F2447E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128</cp:revision>
  <dcterms:created xsi:type="dcterms:W3CDTF">2025-04-20T10:28:00Z</dcterms:created>
  <dcterms:modified xsi:type="dcterms:W3CDTF">2025-04-23T08:38:00Z</dcterms:modified>
</cp:coreProperties>
</file>