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SimSun" w:hAnsi="SimSun" w:eastAsia="SimSun"/>
          <w:b/>
          <w:sz w:val="52"/>
        </w:rPr>
        <w:t>汽车焊接制造工艺智能体</w:t>
      </w:r>
    </w:p>
    <w:p>
      <w:pPr>
        <w:spacing w:after="360"/>
        <w:jc w:val="center"/>
      </w:pPr>
      <w:r>
        <w:rPr>
          <w:rFonts w:ascii="SimSun" w:hAnsi="SimSun" w:eastAsia="SimSun"/>
          <w:b/>
          <w:sz w:val="44"/>
        </w:rPr>
        <w:t>大小模型协同技术方案 V3.0</w:t>
      </w:r>
    </w:p>
    <w:p>
      <w:pPr>
        <w:spacing w:after="1200"/>
        <w:jc w:val="center"/>
      </w:pPr>
      <w:r>
        <w:rPr>
          <w:rFonts w:ascii="SimSun" w:hAnsi="SimSun" w:eastAsia="SimSun"/>
          <w:b w:val="0"/>
          <w:sz w:val="24"/>
        </w:rPr>
        <w:t>全流程设计与实施 — 数据收集 → 数据管理 → 模型训练 → 模型部署 → 效果测试 → 闭环优化</w:t>
      </w:r>
    </w:p>
    <w:p>
      <w:pPr>
        <w:spacing w:after="80"/>
        <w:jc w:val="center"/>
      </w:pPr>
      <w:r>
        <w:rPr>
          <w:rFonts w:ascii="SimSun" w:hAnsi="SimSun" w:eastAsia="SimSun"/>
          <w:b w:val="0"/>
          <w:sz w:val="22"/>
        </w:rPr>
        <w:t>文档编号：TECH-ARCH-2026-003</w:t>
      </w:r>
    </w:p>
    <w:p>
      <w:pPr>
        <w:spacing w:after="80"/>
        <w:jc w:val="center"/>
      </w:pPr>
      <w:r>
        <w:rPr>
          <w:rFonts w:ascii="SimSun" w:hAnsi="SimSun" w:eastAsia="SimSun"/>
          <w:b w:val="0"/>
          <w:sz w:val="22"/>
        </w:rPr>
        <w:t>版本：V3.0</w:t>
      </w:r>
    </w:p>
    <w:p>
      <w:pPr>
        <w:spacing w:after="80"/>
        <w:jc w:val="center"/>
      </w:pPr>
      <w:r>
        <w:rPr>
          <w:rFonts w:ascii="SimSun" w:hAnsi="SimSun" w:eastAsia="SimSun"/>
          <w:b w:val="0"/>
          <w:sz w:val="22"/>
        </w:rPr>
        <w:t>日期：2026年6月</w:t>
      </w:r>
    </w:p>
    <w:p>
      <w:pPr>
        <w:spacing w:after="80"/>
        <w:jc w:val="center"/>
      </w:pPr>
      <w:r>
        <w:rPr>
          <w:rFonts w:ascii="SimSun" w:hAnsi="SimSun" w:eastAsia="SimSun"/>
          <w:b w:val="0"/>
          <w:sz w:val="22"/>
        </w:rPr>
        <w:t>密级：内部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color w:val="1A3C6E"/>
        </w:rPr>
        <w:t>目录</w:t>
      </w:r>
    </w:p>
    <w:p>
      <w:pPr>
        <w:spacing w:after="60"/>
      </w:pPr>
      <w:r>
        <w:rPr>
          <w:rFonts w:ascii="SimSun" w:hAnsi="SimSun" w:eastAsia="SimSun"/>
          <w:b w:val="0"/>
        </w:rPr>
        <w:t>一、背景与总体架构</w:t>
      </w:r>
    </w:p>
    <w:p>
      <w:pPr>
        <w:spacing w:after="60"/>
      </w:pPr>
      <w:r>
        <w:rPr>
          <w:rFonts w:ascii="SimSun" w:hAnsi="SimSun" w:eastAsia="SimSun"/>
          <w:b w:val="0"/>
        </w:rPr>
        <w:t>二、大模型层设计与实现</w:t>
      </w:r>
    </w:p>
    <w:p>
      <w:pPr>
        <w:spacing w:after="60"/>
      </w:pPr>
      <w:r>
        <w:rPr>
          <w:rFonts w:ascii="SimSun" w:hAnsi="SimSun" w:eastAsia="SimSun"/>
          <w:b w:val="0"/>
        </w:rPr>
        <w:t>三、小模型层设计与实现</w:t>
      </w:r>
    </w:p>
    <w:p>
      <w:pPr>
        <w:spacing w:after="60"/>
      </w:pPr>
      <w:r>
        <w:rPr>
          <w:rFonts w:ascii="SimSun" w:hAnsi="SimSun" w:eastAsia="SimSun"/>
          <w:b w:val="0"/>
        </w:rPr>
        <w:t>四、按模型分类的数据全生命周期管理</w:t>
      </w:r>
    </w:p>
    <w:p>
      <w:pPr>
        <w:spacing w:after="60"/>
      </w:pPr>
      <w:r>
        <w:rPr>
          <w:rFonts w:ascii="SimSun" w:hAnsi="SimSun" w:eastAsia="SimSun"/>
          <w:b w:val="0"/>
        </w:rPr>
        <w:t>五、模型训练与硬件资源映射</w:t>
      </w:r>
    </w:p>
    <w:p>
      <w:pPr>
        <w:spacing w:after="60"/>
      </w:pPr>
      <w:r>
        <w:rPr>
          <w:rFonts w:ascii="SimSun" w:hAnsi="SimSun" w:eastAsia="SimSun"/>
          <w:b w:val="0"/>
        </w:rPr>
        <w:t>六、模型效果测试与流程验证</w:t>
      </w:r>
    </w:p>
    <w:p>
      <w:pPr>
        <w:spacing w:after="60"/>
      </w:pPr>
      <w:r>
        <w:rPr>
          <w:rFonts w:ascii="SimSun" w:hAnsi="SimSun" w:eastAsia="SimSun"/>
          <w:b w:val="0"/>
        </w:rPr>
        <w:t>七、数据回灌与模型优化</w:t>
      </w:r>
    </w:p>
    <w:p>
      <w:pPr>
        <w:spacing w:after="60"/>
      </w:pPr>
      <w:r>
        <w:rPr>
          <w:rFonts w:ascii="SimSun" w:hAnsi="SimSun" w:eastAsia="SimSun"/>
          <w:b w:val="0"/>
        </w:rPr>
        <w:t>八、协同编排引擎</w:t>
      </w:r>
    </w:p>
    <w:p>
      <w:pPr>
        <w:spacing w:after="60"/>
      </w:pPr>
      <w:r>
        <w:rPr>
          <w:rFonts w:ascii="SimSun" w:hAnsi="SimSun" w:eastAsia="SimSun"/>
          <w:b w:val="0"/>
        </w:rPr>
        <w:t>九、全流程实施要点与检查清单</w:t>
      </w:r>
    </w:p>
    <w:p>
      <w:pPr>
        <w:spacing w:after="60"/>
      </w:pPr>
      <w:r>
        <w:rPr>
          <w:rFonts w:ascii="SimSun" w:hAnsi="SimSun" w:eastAsia="SimSun"/>
          <w:b w:val="0"/>
        </w:rPr>
        <w:t>十、平台算子实现</w:t>
      </w:r>
    </w:p>
    <w:p>
      <w:pPr>
        <w:spacing w:after="60"/>
      </w:pPr>
      <w:r>
        <w:rPr>
          <w:rFonts w:ascii="SimSun" w:hAnsi="SimSun" w:eastAsia="SimSun"/>
          <w:b w:val="0"/>
        </w:rPr>
        <w:t>十一、资源需求</w:t>
      </w:r>
    </w:p>
    <w:p>
      <w:pPr>
        <w:spacing w:after="60"/>
      </w:pPr>
      <w:r>
        <w:rPr>
          <w:rFonts w:ascii="SimSun" w:hAnsi="SimSun" w:eastAsia="SimSun"/>
          <w:b w:val="0"/>
        </w:rPr>
        <w:t>十二、落地实施路径</w:t>
      </w:r>
    </w:p>
    <w:p>
      <w:pPr>
        <w:spacing w:after="60"/>
      </w:pPr>
      <w:r>
        <w:rPr>
          <w:rFonts w:ascii="SimSun" w:hAnsi="SimSun" w:eastAsia="SimSun"/>
          <w:b w:val="0"/>
        </w:rPr>
        <w:t>十三、风险与应对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color w:val="1A3C6E"/>
        </w:rPr>
        <w:t>一、背景与总体架构</w:t>
      </w:r>
    </w:p>
    <w:p>
      <w:pPr>
        <w:pStyle w:val="Heading2"/>
      </w:pPr>
      <w:r>
        <w:rPr>
          <w:rFonts w:ascii="SimSun" w:hAnsi="SimSun" w:eastAsia="SimSun"/>
          <w:color w:val="1A3C6E"/>
        </w:rPr>
        <w:t>1.1 技术背景</w:t>
      </w:r>
    </w:p>
    <w:p>
      <w:pPr>
        <w:spacing w:after="120"/>
      </w:pPr>
      <w:r>
        <w:rPr>
          <w:rFonts w:ascii="SimSun" w:hAnsi="SimSun" w:eastAsia="SimSun"/>
          <w:b w:val="0"/>
        </w:rPr>
        <w:t>电阻点焊是汽车白车身制造的核心连接工艺，一个白车身包含4000-6000个焊点，焊接质量直接影响车身强度、NVH性能和疲劳寿命。当前行业面临以下核心挑战：</w:t>
      </w:r>
    </w:p>
    <w:p>
      <w:pPr>
        <w:pStyle w:val="ListBullet"/>
        <w:spacing w:after="60"/>
      </w:pPr>
      <w:r>
        <w:rPr>
          <w:rFonts w:ascii="SimSun" w:hAnsi="SimSun" w:eastAsia="SimSun"/>
        </w:rPr>
        <w:t>通用理解与推理：需要大语言模型（LLM）理解自然语言、工艺上下文、进行多步推理</w:t>
      </w:r>
    </w:p>
    <w:p>
      <w:pPr>
        <w:pStyle w:val="ListBullet"/>
        <w:spacing w:after="60"/>
      </w:pPr>
      <w:r>
        <w:rPr>
          <w:rFonts w:ascii="SimSun" w:hAnsi="SimSun" w:eastAsia="SimSun"/>
        </w:rPr>
        <w:t>专业精确计算：需要专用模型进行高精度质量判断、参数回归预测</w:t>
      </w:r>
    </w:p>
    <w:p>
      <w:pPr>
        <w:pStyle w:val="ListBullet"/>
        <w:spacing w:after="60"/>
      </w:pPr>
      <w:r>
        <w:rPr>
          <w:rFonts w:ascii="SimSun" w:hAnsi="SimSun" w:eastAsia="SimSun"/>
        </w:rPr>
        <w:t>实时性要求：产线推理时延通常在秒级甚至毫秒级</w:t>
      </w:r>
    </w:p>
    <w:p>
      <w:pPr>
        <w:pStyle w:val="ListBullet"/>
        <w:spacing w:after="60"/>
      </w:pPr>
      <w:r>
        <w:rPr>
          <w:rFonts w:ascii="SimSun" w:hAnsi="SimSun" w:eastAsia="SimSun"/>
        </w:rPr>
        <w:t>工业机理约束：点焊过程遵循物理机理，需要机理模型进行约束校验</w:t>
      </w:r>
    </w:p>
    <w:p>
      <w:pPr>
        <w:pStyle w:val="Heading2"/>
      </w:pPr>
      <w:r>
        <w:rPr>
          <w:rFonts w:ascii="SimSun" w:hAnsi="SimSun" w:eastAsia="SimSun"/>
          <w:color w:val="1A3C6E"/>
        </w:rPr>
        <w:t>1.2 大小模型协同的核心挑战</w:t>
      </w:r>
    </w:p>
    <w:p>
      <w:pPr>
        <w:spacing w:after="120"/>
      </w:pPr>
      <w:r>
        <w:rPr>
          <w:rFonts w:ascii="SimSun" w:hAnsi="SimSun" w:eastAsia="SimSun"/>
          <w:b w:val="0"/>
        </w:rPr>
        <w:t>核心挑战包括：模型能力边界划分、实时性保障、一致性保证、可维护性。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1.3 总体架构设计</w:t>
      </w:r>
    </w:p>
    <w:p>
      <w:pPr>
        <w:spacing w:after="120"/>
      </w:pPr>
      <w:r>
        <w:rPr>
          <w:rFonts w:ascii="SimSun" w:hAnsi="SimSun" w:eastAsia="SimSun"/>
          <w:b w:val="0"/>
        </w:rPr>
        <w:t>本方案采用“大模型规划+小模型执行+机理模型约束”的三层协同架构，并围绕该架构构建完整的“数据收集→数据管理→模型训练→模型部署→效果测试→闭环优化”全生命周期闭环。</w:t>
      </w:r>
    </w:p>
    <w:p>
      <w:pPr>
        <w:pStyle w:val="Heading1"/>
      </w:pPr>
      <w:r>
        <w:rPr>
          <w:rFonts w:ascii="SimSun" w:hAnsi="SimSun" w:eastAsia="SimSun"/>
          <w:color w:val="1A3C6E"/>
        </w:rPr>
        <w:t>二、大模型层设计与实现</w:t>
      </w:r>
    </w:p>
    <w:p>
      <w:pPr>
        <w:pStyle w:val="Heading2"/>
      </w:pPr>
      <w:r>
        <w:rPr>
          <w:rFonts w:ascii="SimSun" w:hAnsi="SimSun" w:eastAsia="SimSun"/>
          <w:color w:val="1A3C6E"/>
        </w:rPr>
        <w:t>2.1 模型选型与部署</w:t>
      </w:r>
    </w:p>
    <w:p>
      <w:pPr>
        <w:spacing w:after="120"/>
      </w:pPr>
      <w:r>
        <w:rPr>
          <w:rFonts w:ascii="SimSun" w:hAnsi="SimSun" w:eastAsia="SimSun"/>
          <w:b w:val="0"/>
        </w:rPr>
        <w:t>选择Qwen2.5-72B/DeepSeek-V3作为基座模型，采用vLLM部署框架，4×A100 80GB集群，支持32K上下文窗口。可选蒸馏版本（Qwen2.5-14B）用于边缘场景。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2.2 任务规划与意图理解</w:t>
      </w:r>
    </w:p>
    <w:p>
      <w:pPr>
        <w:spacing w:after="120"/>
      </w:pPr>
      <w:r>
        <w:rPr>
          <w:rFonts w:ascii="SimSun" w:hAnsi="SimSun" w:eastAsia="SimSun"/>
          <w:b w:val="0"/>
        </w:rPr>
        <w:t>采用ReAct框架实现智能体任务规划。System Prompt包含角色定义、工具描述、约束规则及输出格式。意图分类支持5个核心类别：质量诊断、参数推荐、工艺查询、设备排障、数据报告。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2.3 RAG知识库与检索增强</w:t>
      </w:r>
    </w:p>
    <w:p>
      <w:pPr>
        <w:spacing w:after="120"/>
      </w:pPr>
      <w:r>
        <w:rPr>
          <w:rFonts w:ascii="SimSun" w:hAnsi="SimSun" w:eastAsia="SimSun"/>
          <w:b w:val="0"/>
        </w:rPr>
        <w:t>RAG双通道检索：知识图谱语义检索+向量相似度检索。知识源覆盖焊接工艺标准、设备手册、历史案例。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2.4 工具调用与Function Calling</w:t>
      </w:r>
    </w:p>
    <w:p>
      <w:pPr>
        <w:spacing w:after="120"/>
      </w:pPr>
      <w:r>
        <w:rPr>
          <w:rFonts w:ascii="SimSun" w:hAnsi="SimSun" w:eastAsia="SimSun"/>
          <w:b w:val="0"/>
        </w:rPr>
        <w:t>Function Calling Schema设计，支持调用质量判断模型、参数预测模型、机理校验模型等外部工具。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2.5 多轮对话与上下文管理</w:t>
      </w:r>
    </w:p>
    <w:p>
      <w:pPr>
        <w:spacing w:after="120"/>
      </w:pPr>
      <w:r>
        <w:rPr>
          <w:rFonts w:ascii="SimSun" w:hAnsi="SimSun" w:eastAsia="SimSun"/>
          <w:b w:val="0"/>
        </w:rPr>
        <w:t>8轮滑动窗口+关键状态持久化。系统消息包含当前任务上下文、已调用工具历史、当前产线状态。</w:t>
      </w:r>
    </w:p>
    <w:p>
      <w:pPr>
        <w:pStyle w:val="Heading1"/>
      </w:pPr>
      <w:r>
        <w:rPr>
          <w:rFonts w:ascii="SimSun" w:hAnsi="SimSun" w:eastAsia="SimSun"/>
          <w:color w:val="1A3C6E"/>
        </w:rPr>
        <w:t>三、小模型层设计与实现</w:t>
      </w:r>
    </w:p>
    <w:p>
      <w:pPr>
        <w:pStyle w:val="Heading2"/>
      </w:pPr>
      <w:r>
        <w:rPr>
          <w:rFonts w:ascii="SimSun" w:hAnsi="SimSun" w:eastAsia="SimSun"/>
          <w:color w:val="1A3C6E"/>
        </w:rPr>
        <w:t>3.1 点焊质量判断模型</w:t>
      </w:r>
    </w:p>
    <w:p>
      <w:pPr>
        <w:spacing w:after="120"/>
      </w:pPr>
      <w:r>
        <w:rPr>
          <w:rFonts w:ascii="SimSun" w:hAnsi="SimSun" w:eastAsia="SimSun"/>
          <w:b w:val="0"/>
        </w:rPr>
        <w:t>基于1D-CNN+GRU+XGBoost的时序分类模型。输入：焊接电流、电压、电阻、电极位移等多通道时序信号。输出：5类缺陷概率分布（合格、虚焊、飞溅、过烧、未熔合）+置信度分数。单样本推理延迟&lt;10ms（GPU）/&lt;50ms（CPU）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3.2 工艺参数预测模型（大模型方案）</w:t>
      </w:r>
    </w:p>
    <w:p>
      <w:pPr>
        <w:spacing w:after="120"/>
      </w:pPr>
      <w:r>
        <w:rPr>
          <w:rFonts w:ascii="SimSun" w:hAnsi="SimSun" w:eastAsia="SimSun"/>
          <w:b w:val="0"/>
        </w:rPr>
        <w:t>采用大模型（LLM）作为参数预测核心推理引擎，三源协同架构：LLM推理 + 知识规则 + 机理约束。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3.3 机理约束模型</w:t>
      </w:r>
    </w:p>
    <w:p>
      <w:pPr>
        <w:spacing w:after="120"/>
      </w:pPr>
      <w:r>
        <w:rPr>
          <w:rFonts w:ascii="SimSun" w:hAnsi="SimSun" w:eastAsia="SimSun"/>
          <w:b w:val="0"/>
        </w:rPr>
        <w:t>5个机理模型（热传导、熔核生长、焊接窗口、飞溅预测、残余应力），作为物理约束层。</w:t>
      </w:r>
    </w:p>
    <w:p>
      <w:pPr>
        <w:pStyle w:val="Heading1"/>
      </w:pPr>
      <w:r>
        <w:rPr>
          <w:rFonts w:ascii="SimSun" w:hAnsi="SimSun" w:eastAsia="SimSun"/>
          <w:color w:val="1A3C6E"/>
        </w:rPr>
        <w:t>四、按模型分类的数据全生命周期管理</w:t>
      </w:r>
    </w:p>
    <w:p>
      <w:pPr>
        <w:spacing w:after="120"/>
      </w:pPr>
      <w:r>
        <w:rPr>
          <w:rFonts w:ascii="SimSun" w:hAnsi="SimSun" w:eastAsia="SimSun"/>
          <w:b w:val="0"/>
        </w:rPr>
        <w:t>数据是模型效果的生命线。本章按模型类型分类说明训练数据的收集、清洗与标注要求。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4.1 点焊质量判断模型的数据管理</w:t>
      </w:r>
    </w:p>
    <w:p>
      <w:pPr>
        <w:pStyle w:val="Heading3"/>
      </w:pPr>
      <w:r>
        <w:rPr>
          <w:rFonts w:ascii="SimSun" w:hAnsi="SimSun" w:eastAsia="SimSun"/>
          <w:color w:val="1A3C6E"/>
        </w:rPr>
        <w:t>4.1.1 数据收集</w:t>
      </w:r>
    </w:p>
    <w:p>
      <w:pPr>
        <w:spacing w:after="120"/>
      </w:pPr>
      <w:r>
        <w:rPr>
          <w:rFonts w:ascii="SimSun" w:hAnsi="SimSun" w:eastAsia="SimSun"/>
          <w:b w:val="0"/>
        </w:rPr>
        <w:t>针对5类缺陷分类任务，需采集焊接时序信号、产线质检结果、工艺参数记录、环境与设备数据。每类缺陷至少1000条，总计≥5000条。</w:t>
      </w:r>
    </w:p>
    <w:p>
      <w:pPr>
        <w:pStyle w:val="Heading3"/>
      </w:pPr>
      <w:r>
        <w:rPr>
          <w:rFonts w:ascii="SimSun" w:hAnsi="SimSun" w:eastAsia="SimSun"/>
          <w:color w:val="1A3C6E"/>
        </w:rPr>
        <w:t>4.1.2 数据清洗</w:t>
      </w:r>
    </w:p>
    <w:p>
      <w:pPr>
        <w:pStyle w:val="ListBullet"/>
        <w:spacing w:after="60"/>
      </w:pPr>
      <w:r>
        <w:rPr>
          <w:rFonts w:ascii="SimSun" w:hAnsi="SimSun" w:eastAsia="SimSun"/>
        </w:rPr>
        <w:t>异常值检测：Z-Score（阈值3.0）和MAD方法识别传感器噪声</w:t>
      </w:r>
    </w:p>
    <w:p>
      <w:pPr>
        <w:pStyle w:val="ListBullet"/>
        <w:spacing w:after="60"/>
      </w:pPr>
      <w:r>
        <w:rPr>
          <w:rFonts w:ascii="SimSun" w:hAnsi="SimSun" w:eastAsia="SimSun"/>
        </w:rPr>
        <w:t>信号降噪：小波变换降噪（db4小波基，5层分解）</w:t>
      </w:r>
    </w:p>
    <w:p>
      <w:pPr>
        <w:pStyle w:val="ListBullet"/>
        <w:spacing w:after="60"/>
      </w:pPr>
      <w:r>
        <w:rPr>
          <w:rFonts w:ascii="SimSun" w:hAnsi="SimSun" w:eastAsia="SimSun"/>
        </w:rPr>
        <w:t>信号对齐：以电流信号上升沿对齐所有通道焊接周期</w:t>
      </w:r>
    </w:p>
    <w:p>
      <w:pPr>
        <w:pStyle w:val="ListBullet"/>
        <w:spacing w:after="60"/>
      </w:pPr>
      <w:r>
        <w:rPr>
          <w:rFonts w:ascii="SimSun" w:hAnsi="SimSun" w:eastAsia="SimSun"/>
        </w:rPr>
        <w:t>时序归一化：Z-Score归一化消除设备幅值差异</w:t>
      </w:r>
    </w:p>
    <w:p>
      <w:pPr>
        <w:pStyle w:val="ListBullet"/>
        <w:spacing w:after="60"/>
      </w:pPr>
      <w:r>
        <w:rPr>
          <w:rFonts w:ascii="SimSun" w:hAnsi="SimSun" w:eastAsia="SimSun"/>
        </w:rPr>
        <w:t>缺失值处理：缺失率&lt;5%线性插值，≥5%标记无效</w:t>
      </w:r>
    </w:p>
    <w:p>
      <w:pPr>
        <w:pStyle w:val="Heading3"/>
      </w:pPr>
      <w:r>
        <w:rPr>
          <w:rFonts w:ascii="SimSun" w:hAnsi="SimSun" w:eastAsia="SimSun"/>
          <w:color w:val="1A3C6E"/>
        </w:rPr>
        <w:t>4.1.3 数据标注</w:t>
      </w:r>
    </w:p>
    <w:p>
      <w:pPr>
        <w:spacing w:after="120"/>
      </w:pPr>
      <w:r>
        <w:rPr>
          <w:rFonts w:ascii="SimSun" w:hAnsi="SimSun" w:eastAsia="SimSun"/>
          <w:b w:val="0"/>
        </w:rPr>
        <w:t>5类缺陷标注标准：合格（OK）、虚焊（Cold Weld）、飞溅（Spatter）、过烧（Overburn）、未熔合（No Fusion）。采用“自动预标注+人工审核”半自动化流程，Kappa≥0.8。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4.2 大模型（LLM）的数据管理</w:t>
      </w:r>
    </w:p>
    <w:p>
      <w:pPr>
        <w:pStyle w:val="Heading3"/>
      </w:pPr>
      <w:r>
        <w:rPr>
          <w:rFonts w:ascii="SimSun" w:hAnsi="SimSun" w:eastAsia="SimSun"/>
          <w:color w:val="1A3C6E"/>
        </w:rPr>
        <w:t>4.2.1 数据收集</w:t>
      </w:r>
    </w:p>
    <w:p>
      <w:pPr>
        <w:pStyle w:val="ListBullet"/>
        <w:spacing w:after="60"/>
      </w:pPr>
      <w:r>
        <w:rPr>
          <w:rFonts w:ascii="SimSun" w:hAnsi="SimSun" w:eastAsia="SimSun"/>
        </w:rPr>
        <w:t>工艺标准文档：ISO 17677、GB/T 2651等国际/国家焊接标准</w:t>
      </w:r>
    </w:p>
    <w:p>
      <w:pPr>
        <w:pStyle w:val="ListBullet"/>
        <w:spacing w:after="60"/>
      </w:pPr>
      <w:r>
        <w:rPr>
          <w:rFonts w:ascii="SimSun" w:hAnsi="SimSun" w:eastAsia="SimSun"/>
        </w:rPr>
        <w:t>设备手册：各品牌焊机技术参数、设置指南、故障代码</w:t>
      </w:r>
    </w:p>
    <w:p>
      <w:pPr>
        <w:pStyle w:val="ListBullet"/>
        <w:spacing w:after="60"/>
      </w:pPr>
      <w:r>
        <w:rPr>
          <w:rFonts w:ascii="SimSun" w:hAnsi="SimSun" w:eastAsia="SimSun"/>
        </w:rPr>
        <w:t>历史工艺记录：3年以上参数设定记录及质量结果</w:t>
      </w:r>
    </w:p>
    <w:p>
      <w:pPr>
        <w:pStyle w:val="ListBullet"/>
        <w:spacing w:after="60"/>
      </w:pPr>
      <w:r>
        <w:rPr>
          <w:rFonts w:ascii="SimSun" w:hAnsi="SimSun" w:eastAsia="SimSun"/>
        </w:rPr>
        <w:t>FAQ与排障知识：常见问题及解决方案</w:t>
      </w:r>
    </w:p>
    <w:p>
      <w:pPr>
        <w:pStyle w:val="ListBullet"/>
        <w:spacing w:after="60"/>
      </w:pPr>
      <w:r>
        <w:rPr>
          <w:rFonts w:ascii="SimSun" w:hAnsi="SimSun" w:eastAsia="SimSun"/>
        </w:rPr>
        <w:t>RAG语料库：焊接教材、论文摘要、工艺规范文档</w:t>
      </w:r>
    </w:p>
    <w:p>
      <w:pPr>
        <w:pStyle w:val="Heading3"/>
      </w:pPr>
      <w:r>
        <w:rPr>
          <w:rFonts w:ascii="SimSun" w:hAnsi="SimSun" w:eastAsia="SimSun"/>
          <w:color w:val="1A3C6E"/>
        </w:rPr>
        <w:t>4.2.2 数据清洗</w:t>
      </w:r>
    </w:p>
    <w:p>
      <w:pPr>
        <w:pStyle w:val="ListBullet"/>
        <w:spacing w:after="60"/>
      </w:pPr>
      <w:r>
        <w:rPr>
          <w:rFonts w:ascii="SimSun" w:hAnsi="SimSun" w:eastAsia="SimSun"/>
        </w:rPr>
        <w:t>格式标准化：统一转换为Markdown格式</w:t>
      </w:r>
    </w:p>
    <w:p>
      <w:pPr>
        <w:pStyle w:val="ListBullet"/>
        <w:spacing w:after="60"/>
      </w:pPr>
      <w:r>
        <w:rPr>
          <w:rFonts w:ascii="SimSun" w:hAnsi="SimSun" w:eastAsia="SimSun"/>
        </w:rPr>
        <w:t>质量过滤：OCR置信度&lt;90%需人工校对</w:t>
      </w:r>
    </w:p>
    <w:p>
      <w:pPr>
        <w:pStyle w:val="ListBullet"/>
        <w:spacing w:after="60"/>
      </w:pPr>
      <w:r>
        <w:rPr>
          <w:rFonts w:ascii="SimSun" w:hAnsi="SimSun" w:eastAsia="SimSun"/>
        </w:rPr>
        <w:t>知识去重：MinHash相似度&gt;0.85标记重复</w:t>
      </w:r>
    </w:p>
    <w:p>
      <w:pPr>
        <w:pStyle w:val="ListBullet"/>
        <w:spacing w:after="60"/>
      </w:pPr>
      <w:r>
        <w:rPr>
          <w:rFonts w:ascii="SimSun" w:hAnsi="SimSun" w:eastAsia="SimSun"/>
        </w:rPr>
        <w:t>时效性检查：超10年文档标注需确认时效性</w:t>
      </w:r>
    </w:p>
    <w:p>
      <w:pPr>
        <w:pStyle w:val="ListBullet"/>
        <w:spacing w:after="60"/>
      </w:pPr>
      <w:r>
        <w:rPr>
          <w:rFonts w:ascii="SimSun" w:hAnsi="SimSun" w:eastAsia="SimSun"/>
        </w:rPr>
        <w:t>脱敏处理：移除工程师姓名、联系方式等PII</w:t>
      </w:r>
    </w:p>
    <w:p>
      <w:pPr>
        <w:pStyle w:val="Heading3"/>
      </w:pPr>
      <w:r>
        <w:rPr>
          <w:rFonts w:ascii="SimSun" w:hAnsi="SimSun" w:eastAsia="SimSun"/>
          <w:color w:val="1A3C6E"/>
        </w:rPr>
        <w:t>4.2.3 数据标注</w:t>
      </w:r>
    </w:p>
    <w:p>
      <w:pPr>
        <w:pStyle w:val="ListBullet"/>
        <w:spacing w:after="60"/>
      </w:pPr>
      <w:r>
        <w:rPr>
          <w:rFonts w:ascii="SimSun" w:hAnsi="SimSun" w:eastAsia="SimSun"/>
        </w:rPr>
        <w:t>段落类型标注：标准/规范/案例/排障/FAQ</w:t>
      </w:r>
    </w:p>
    <w:p>
      <w:pPr>
        <w:pStyle w:val="ListBullet"/>
        <w:spacing w:after="60"/>
      </w:pPr>
      <w:r>
        <w:rPr>
          <w:rFonts w:ascii="SimSun" w:hAnsi="SimSun" w:eastAsia="SimSun"/>
        </w:rPr>
        <w:t>知识关联标注：构建知识图谱关系</w:t>
      </w:r>
    </w:p>
    <w:p>
      <w:pPr>
        <w:pStyle w:val="ListBullet"/>
        <w:spacing w:after="60"/>
      </w:pPr>
      <w:r>
        <w:rPr>
          <w:rFonts w:ascii="SimSun" w:hAnsi="SimSun" w:eastAsia="SimSun"/>
        </w:rPr>
        <w:t>难度分级：直接检索/多段推理/需工具辅助</w:t>
      </w:r>
    </w:p>
    <w:p>
      <w:pPr>
        <w:pStyle w:val="ListBullet"/>
        <w:spacing w:after="60"/>
      </w:pPr>
      <w:r>
        <w:rPr>
          <w:rFonts w:ascii="SimSun" w:hAnsi="SimSun" w:eastAsia="SimSun"/>
        </w:rPr>
        <w:t>QA对标注：提取高质量Q&amp;A对用于评测集</w:t>
      </w:r>
    </w:p>
    <w:p>
      <w:pPr>
        <w:pStyle w:val="Heading2"/>
      </w:pPr>
      <w:r>
        <w:rPr>
          <w:rFonts w:ascii="SimSun" w:hAnsi="SimSun" w:eastAsia="SimSun"/>
          <w:color w:val="1A3C6E"/>
        </w:rPr>
        <w:t>4.3 机理约束模型的数据管理</w:t>
      </w:r>
    </w:p>
    <w:p>
      <w:pPr>
        <w:pStyle w:val="Heading3"/>
      </w:pPr>
      <w:r>
        <w:rPr>
          <w:rFonts w:ascii="SimSun" w:hAnsi="SimSun" w:eastAsia="SimSun"/>
          <w:color w:val="1A3C6E"/>
        </w:rPr>
        <w:t>4.3.1 数据收集</w:t>
      </w:r>
    </w:p>
    <w:p>
      <w:pPr>
        <w:pStyle w:val="ListBullet"/>
        <w:spacing w:after="60"/>
      </w:pPr>
      <w:r>
        <w:rPr>
          <w:rFonts w:ascii="SimSun" w:hAnsi="SimSun" w:eastAsia="SimSun"/>
        </w:rPr>
        <w:t>材料物性参数：热导率、电阻率、比热容、熔点等</w:t>
      </w:r>
    </w:p>
    <w:p>
      <w:pPr>
        <w:pStyle w:val="ListBullet"/>
        <w:spacing w:after="60"/>
      </w:pPr>
      <w:r>
        <w:rPr>
          <w:rFonts w:ascii="SimSun" w:hAnsi="SimSun" w:eastAsia="SimSun"/>
        </w:rPr>
        <w:t>焊接工艺窗口：各材料组合的许用参数范围</w:t>
      </w:r>
    </w:p>
    <w:p>
      <w:pPr>
        <w:pStyle w:val="ListBullet"/>
        <w:spacing w:after="60"/>
      </w:pPr>
      <w:r>
        <w:rPr>
          <w:rFonts w:ascii="SimSun" w:hAnsi="SimSun" w:eastAsia="SimSun"/>
        </w:rPr>
        <w:t>DOE标定数据：覆盖全参数范围的实验数据</w:t>
      </w:r>
    </w:p>
    <w:p>
      <w:pPr>
        <w:pStyle w:val="ListBullet"/>
        <w:spacing w:after="60"/>
      </w:pPr>
      <w:r>
        <w:rPr>
          <w:rFonts w:ascii="SimSun" w:hAnsi="SimSun" w:eastAsia="SimSun"/>
        </w:rPr>
        <w:t>验证数据：独立验证焊点数据，≥200组/材料组合</w:t>
      </w:r>
    </w:p>
    <w:p>
      <w:pPr>
        <w:pStyle w:val="Heading3"/>
      </w:pPr>
      <w:r>
        <w:rPr>
          <w:rFonts w:ascii="SimSun" w:hAnsi="SimSun" w:eastAsia="SimSun"/>
          <w:color w:val="1A3C6E"/>
        </w:rPr>
        <w:t>4.3.2 数据清洗</w:t>
      </w:r>
    </w:p>
    <w:p>
      <w:pPr>
        <w:pStyle w:val="ListBullet"/>
        <w:spacing w:after="60"/>
      </w:pPr>
      <w:r>
        <w:rPr>
          <w:rFonts w:ascii="SimSun" w:hAnsi="SimSun" w:eastAsia="SimSun"/>
        </w:rPr>
        <w:t>物性数据交叉验证（差异&gt;5%需确认）</w:t>
      </w:r>
    </w:p>
    <w:p>
      <w:pPr>
        <w:pStyle w:val="ListBullet"/>
        <w:spacing w:after="60"/>
      </w:pPr>
      <w:r>
        <w:rPr>
          <w:rFonts w:ascii="SimSun" w:hAnsi="SimSun" w:eastAsia="SimSun"/>
        </w:rPr>
        <w:t>异常工况标记而非删除</w:t>
      </w:r>
    </w:p>
    <w:p>
      <w:pPr>
        <w:pStyle w:val="ListBullet"/>
        <w:spacing w:after="60"/>
      </w:pPr>
      <w:r>
        <w:rPr>
          <w:rFonts w:ascii="SimSun" w:hAnsi="SimSun" w:eastAsia="SimSun"/>
        </w:rPr>
        <w:t>工艺参数范围全覆盖</w:t>
      </w:r>
    </w:p>
    <w:p>
      <w:pPr>
        <w:pStyle w:val="ListBullet"/>
        <w:spacing w:after="60"/>
      </w:pPr>
      <w:r>
        <w:rPr>
          <w:rFonts w:ascii="SimSun" w:hAnsi="SimSun" w:eastAsia="SimSun"/>
        </w:rPr>
        <w:t>材料牌号命名统一</w:t>
      </w:r>
    </w:p>
    <w:p>
      <w:pPr>
        <w:pStyle w:val="Heading3"/>
      </w:pPr>
      <w:r>
        <w:rPr>
          <w:rFonts w:ascii="SimSun" w:hAnsi="SimSun" w:eastAsia="SimSun"/>
          <w:color w:val="1A3C6E"/>
        </w:rPr>
        <w:t>4.3.3 数据标注（参数标定）</w:t>
      </w:r>
    </w:p>
    <w:p>
      <w:pPr>
        <w:pStyle w:val="ListBullet"/>
        <w:spacing w:after="60"/>
      </w:pPr>
      <w:r>
        <w:rPr>
          <w:rFonts w:ascii="SimSun" w:hAnsi="SimSun" w:eastAsia="SimSun"/>
        </w:rPr>
        <w:t>热传导模型标定：红外热成像 vs 模拟温度场RMSE最小化</w:t>
      </w:r>
    </w:p>
    <w:p>
      <w:pPr>
        <w:pStyle w:val="ListBullet"/>
        <w:spacing w:after="60"/>
      </w:pPr>
      <w:r>
        <w:rPr>
          <w:rFonts w:ascii="SimSun" w:hAnsi="SimSun" w:eastAsia="SimSun"/>
        </w:rPr>
        <w:t>熔核生长标定：金相实测 vs 模拟熔核尺寸差异最小化</w:t>
      </w:r>
    </w:p>
    <w:p>
      <w:pPr>
        <w:pStyle w:val="ListBullet"/>
        <w:spacing w:after="60"/>
      </w:pPr>
      <w:r>
        <w:rPr>
          <w:rFonts w:ascii="SimSun" w:hAnsi="SimSun" w:eastAsia="SimSun"/>
        </w:rPr>
        <w:t>焊接窗口验证：预测窗口与实际工艺评定窗口比对</w:t>
      </w:r>
    </w:p>
    <w:p>
      <w:pPr>
        <w:pStyle w:val="Heading2"/>
      </w:pPr>
      <w:r>
        <w:rPr>
          <w:rFonts w:ascii="SimSun" w:hAnsi="SimSun" w:eastAsia="SimSun"/>
          <w:color w:val="1A3C6E"/>
        </w:rPr>
        <w:t>4.4 意图理解与多轮对话的数据管理</w:t>
      </w:r>
    </w:p>
    <w:p>
      <w:pPr>
        <w:pStyle w:val="Heading3"/>
      </w:pPr>
      <w:r>
        <w:rPr>
          <w:rFonts w:ascii="SimSun" w:hAnsi="SimSun" w:eastAsia="SimSun"/>
          <w:color w:val="1A3C6E"/>
        </w:rPr>
        <w:t>4.4.1 数据收集</w:t>
      </w:r>
    </w:p>
    <w:p>
      <w:pPr>
        <w:pStyle w:val="ListBullet"/>
        <w:spacing w:after="60"/>
      </w:pPr>
      <w:r>
        <w:rPr>
          <w:rFonts w:ascii="SimSun" w:hAnsi="SimSun" w:eastAsia="SimSun"/>
        </w:rPr>
        <w:t>历史交互日志：覆盖5个核心意图类别</w:t>
      </w:r>
    </w:p>
    <w:p>
      <w:pPr>
        <w:pStyle w:val="ListBullet"/>
        <w:spacing w:after="60"/>
      </w:pPr>
      <w:r>
        <w:rPr>
          <w:rFonts w:ascii="SimSun" w:hAnsi="SimSun" w:eastAsia="SimSun"/>
        </w:rPr>
        <w:t>多轮对话记录：标注正确意图切换时机</w:t>
      </w:r>
    </w:p>
    <w:p>
      <w:pPr>
        <w:pStyle w:val="ListBullet"/>
        <w:spacing w:after="60"/>
      </w:pPr>
      <w:r>
        <w:rPr>
          <w:rFonts w:ascii="SimSun" w:hAnsi="SimSun" w:eastAsia="SimSun"/>
        </w:rPr>
        <w:t>边缘案例：歧义查询、多意图查询</w:t>
      </w:r>
    </w:p>
    <w:p>
      <w:pPr>
        <w:pStyle w:val="Heading3"/>
      </w:pPr>
      <w:r>
        <w:rPr>
          <w:rFonts w:ascii="SimSun" w:hAnsi="SimSun" w:eastAsia="SimSun"/>
          <w:color w:val="1A3C6E"/>
        </w:rPr>
        <w:t>4.4.2 数据清洗</w:t>
      </w:r>
    </w:p>
    <w:p>
      <w:pPr>
        <w:pStyle w:val="ListBullet"/>
        <w:spacing w:after="60"/>
      </w:pPr>
      <w:r>
        <w:rPr>
          <w:rFonts w:ascii="SimSun" w:hAnsi="SimSun" w:eastAsia="SimSun"/>
        </w:rPr>
        <w:t>术语规范化、上下文脱敏、中英文统一、长度截断（≥200字符）</w:t>
      </w:r>
    </w:p>
    <w:p>
      <w:pPr>
        <w:pStyle w:val="Heading3"/>
      </w:pPr>
      <w:r>
        <w:rPr>
          <w:rFonts w:ascii="SimSun" w:hAnsi="SimSun" w:eastAsia="SimSun"/>
          <w:color w:val="1A3C6E"/>
        </w:rPr>
        <w:t>4.4.3 数据标注</w:t>
      </w:r>
    </w:p>
    <w:p>
      <w:pPr>
        <w:pStyle w:val="ListBullet"/>
        <w:spacing w:after="60"/>
      </w:pPr>
      <w:r>
        <w:rPr>
          <w:rFonts w:ascii="SimSun" w:hAnsi="SimSun" w:eastAsia="SimSun"/>
        </w:rPr>
        <w:t>意图分类标注（5分类+置信度三级）、关键实体标注、多轮拆分标注、难度评估</w:t>
      </w:r>
    </w:p>
    <w:p>
      <w:pPr>
        <w:pStyle w:val="Heading2"/>
      </w:pPr>
      <w:r>
        <w:rPr>
          <w:rFonts w:ascii="SimSun" w:hAnsi="SimSun" w:eastAsia="SimSun"/>
          <w:color w:val="1A3C6E"/>
        </w:rPr>
        <w:t>4.5 数据管理汇总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数据类别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质量判断模型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大模型（LLM）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机理约束模型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意图理解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核心数据源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焊接时序信号\n质检结果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工艺标准文档\n历史记录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材料物性参数\n标定数据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交互日志\n模拟查询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清洗方法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信号降噪\n异常检测\n对齐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格式标准化\n去重\n脱敏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交叉验证\n异常标记\n对齐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术语规范化\n脱敏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标注方式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5类缺陷标签\n自动预标+人工审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段落类型标注\n知识关联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参数标定\n模型校准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意图分类\n实体标注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最小样本量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≥5000条\n每类≥1000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≥2000份文档\n≥5000条QA对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≥200组/材料组合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≥3000条查询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质量门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Kappa≥0.8\n抽审≥10%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OCR≥90%\n时效&lt;10年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误差&lt;5%\n覆盖100%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准确≥95%\n边缘≥20%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A3C6E"/>
        </w:rPr>
        <w:t>五、模型训练与硬件资源映射</w:t>
      </w:r>
    </w:p>
    <w:p>
      <w:pPr>
        <w:spacing w:after="120"/>
      </w:pPr>
      <w:r>
        <w:rPr>
          <w:rFonts w:ascii="SimSun" w:hAnsi="SimSun" w:eastAsia="SimSun"/>
          <w:b w:val="0"/>
        </w:rPr>
        <w:t>本章说明各模型的训练/微调方案，并与资源需求章节的硬件资源进行映射。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5.1 点焊质量判断模型训练</w:t>
      </w:r>
    </w:p>
    <w:p>
      <w:pPr>
        <w:pStyle w:val="Heading3"/>
      </w:pPr>
      <w:r>
        <w:rPr>
          <w:rFonts w:ascii="SimSun" w:hAnsi="SimSun" w:eastAsia="SimSun"/>
          <w:color w:val="1A3C6E"/>
        </w:rPr>
        <w:t>5.1.1 模型架构</w:t>
      </w:r>
    </w:p>
    <w:p>
      <w:pPr>
        <w:spacing w:after="120"/>
      </w:pPr>
      <w:r>
        <w:rPr>
          <w:rFonts w:ascii="SimSun" w:hAnsi="SimSun" w:eastAsia="SimSun"/>
          <w:b w:val="0"/>
        </w:rPr>
        <w:t>1D-CNN+GRU+XGBoost混合架构：1D-CNN提取局部特征，GRU捕获长期依赖，特征融合层拼接各类特征，XGBoost输出5类缺陷概率分布。</w:t>
      </w:r>
    </w:p>
    <w:p>
      <w:pPr>
        <w:pStyle w:val="Heading3"/>
      </w:pPr>
      <w:r>
        <w:rPr>
          <w:rFonts w:ascii="SimSun" w:hAnsi="SimSun" w:eastAsia="SimSun"/>
          <w:color w:val="1A3C6E"/>
        </w:rPr>
        <w:t>5.1.2 训练参数与硬件映射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训练参数</w:t>
            </w:r>
          </w:p>
        </w:tc>
        <w:tc>
          <w:tcPr>
            <w:tcW w:type="dxa" w:w="4153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训练硬件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单卡 RTX 4090 24GB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训练时间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约6-12小时（5000条样本，500 epochs）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Batch Size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64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学习率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1e-3 → 1e-5（余弦退火）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优化器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AdamW（weight_decay=1e-4）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早停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验证集AUC 10轮不提升停止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数据增强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时序抖动、幅值缩放、通道遮罩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评估指标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宏平均F1、混淆矩阵、每类召回率</w:t>
            </w:r>
          </w:p>
        </w:tc>
      </w:tr>
    </w:tbl>
    <w:p/>
    <w:p>
      <w:pPr>
        <w:pStyle w:val="Heading3"/>
      </w:pPr>
      <w:r>
        <w:rPr>
          <w:rFonts w:ascii="SimSun" w:hAnsi="SimSun" w:eastAsia="SimSun"/>
          <w:color w:val="1A3C6E"/>
        </w:rPr>
        <w:t>5.1.3 训练流程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步骤1—数据准备：按焊点ID去重，前70%训练后30%测试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步骤2—特征工程：提取108维统计特征与深度特征融合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步骤3—模型训练：预训练10轮+微调至收敛，类别权重缓解不平衡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步骤4—验证保存：保留最佳5个checkpoint，导出ONNX（FP16量化）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步骤5—鲁棒性测试：±5%噪声下准确率下降&lt;3%</w:t>
      </w:r>
    </w:p>
    <w:p>
      <w:pPr>
        <w:pStyle w:val="Heading2"/>
      </w:pPr>
      <w:r>
        <w:rPr>
          <w:rFonts w:ascii="SimSun" w:hAnsi="SimSun" w:eastAsia="SimSun"/>
          <w:color w:val="1A3C6E"/>
        </w:rPr>
        <w:t>5.2 大模型（LLM）微调训练</w:t>
      </w:r>
    </w:p>
    <w:p>
      <w:pPr>
        <w:pStyle w:val="Heading3"/>
      </w:pPr>
      <w:r>
        <w:rPr>
          <w:rFonts w:ascii="SimSun" w:hAnsi="SimSun" w:eastAsia="SimSun"/>
          <w:color w:val="1A3C6E"/>
        </w:rPr>
        <w:t>5.2.1 微调方案</w:t>
      </w:r>
    </w:p>
    <w:p>
      <w:pPr>
        <w:spacing w:after="120"/>
      </w:pPr>
      <w:r>
        <w:rPr>
          <w:rFonts w:ascii="SimSun" w:hAnsi="SimSun" w:eastAsia="SimSun"/>
          <w:b w:val="0"/>
        </w:rPr>
        <w:t>采用QLoRA高效微调：基座模型Qwen2.5-72B，4-bit NF4量化加载。LoRA配置r=64, alpha=16。微调数据包括RAG语料、参数推荐QA对、意图分类集。</w:t>
      </w:r>
    </w:p>
    <w:p>
      <w:pPr>
        <w:pStyle w:val="Heading3"/>
      </w:pPr>
      <w:r>
        <w:rPr>
          <w:rFonts w:ascii="SimSun" w:hAnsi="SimSun" w:eastAsia="SimSun"/>
          <w:color w:val="1A3C6E"/>
        </w:rPr>
        <w:t>5.2.2 训练参数与硬件映射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训练参数</w:t>
            </w:r>
          </w:p>
        </w:tc>
        <w:tc>
          <w:tcPr>
            <w:tcW w:type="dxa" w:w="4153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训练硬件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4×A100 80GB（推荐2节点共8卡）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训练时间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约24-48小时（10K QA对，3 epochs）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Batch Size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per_device: 2, gradient_accum: 8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学习率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2e-4（LoRA）→ 1e-5（全参）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量化方式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4-bit NF4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上下文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4096 tokens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DeepSpeed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ZeRO Stage 3 + Offload</w:t>
            </w:r>
          </w:p>
        </w:tc>
      </w:tr>
      <w:tr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评估指标</w:t>
            </w:r>
          </w:p>
        </w:tc>
        <w:tc>
          <w:tcPr>
            <w:tcW w:type="dxa" w:w="4153"/>
          </w:tcPr>
          <w:p>
            <w:r>
              <w:rPr>
                <w:rFonts w:ascii="SimSun" w:hAnsi="SimSun" w:eastAsia="SimSun"/>
                <w:sz w:val="19"/>
              </w:rPr>
              <w:t>准确率、BLEU/ROUGE、匹配率</w:t>
            </w:r>
          </w:p>
        </w:tc>
      </w:tr>
    </w:tbl>
    <w:p/>
    <w:p>
      <w:pPr>
        <w:pStyle w:val="Heading3"/>
      </w:pPr>
      <w:r>
        <w:rPr>
          <w:rFonts w:ascii="SimSun" w:hAnsi="SimSun" w:eastAsia="SimSun"/>
          <w:color w:val="1A3C6E"/>
        </w:rPr>
        <w:t>5.2.3 微调流程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步骤1：格式化为对话模板，加入系统提示词和工具调用格式示例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步骤2：4-bit量化加载基座模型，检查显存占用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步骤3：DeepSpeed ZeRO 3分布式LoRA训练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步骤4：解冻最后2层全参微调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步骤5：LoRA权重与基座合并导出FP16格式</w:t>
      </w:r>
    </w:p>
    <w:p>
      <w:pPr>
        <w:pStyle w:val="ListBullet"/>
        <w:spacing w:after="60"/>
      </w:pPr>
      <w:r>
        <w:rPr>
          <w:rFonts w:ascii="SimSun" w:hAnsi="SimSun" w:eastAsia="SimSun"/>
        </w:rPr>
        <w:t>步骤6：vLLM加载部署，4×A100承载72B推理</w:t>
      </w:r>
    </w:p>
    <w:p>
      <w:pPr>
        <w:pStyle w:val="Heading2"/>
      </w:pPr>
      <w:r>
        <w:rPr>
          <w:rFonts w:ascii="SimSun" w:hAnsi="SimSun" w:eastAsia="SimSun"/>
          <w:color w:val="1A3C6E"/>
        </w:rPr>
        <w:t>5.3 训练硬件资源总表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模型类型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训练硬件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训练时间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推理硬件</w:t>
            </w:r>
          </w:p>
        </w:tc>
        <w:tc>
          <w:tcPr>
            <w:tcW w:type="dxa" w:w="1661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质量判断模型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RTX 4090 × 1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6-12h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RTX 4090 / CPU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FP16量化&lt;10ms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大语言模型(72B)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A100 80GB × 4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24-48h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A100 80GB × 4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蒸馏版14B可×2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机理约束模型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CPU工作站 64GB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2-4h/材料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CPU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标定一次可复用</w:t>
            </w:r>
          </w:p>
        </w:tc>
      </w:tr>
      <w:tr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意图分类（可选）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RTX 4090 × 1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2-4h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RTX 4090 / CPU</w:t>
            </w:r>
          </w:p>
        </w:tc>
        <w:tc>
          <w:tcPr>
            <w:tcW w:type="dxa" w:w="1661"/>
          </w:tcPr>
          <w:p>
            <w:r>
              <w:rPr>
                <w:rFonts w:ascii="SimSun" w:hAnsi="SimSun" w:eastAsia="SimSun"/>
                <w:sz w:val="19"/>
              </w:rPr>
              <w:t>BERT-base/TinyBERT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A3C6E"/>
        </w:rPr>
        <w:t>六、模型效果测试与流程验证</w:t>
      </w:r>
    </w:p>
    <w:p>
      <w:pPr>
        <w:spacing w:after="120"/>
      </w:pPr>
      <w:r>
        <w:rPr>
          <w:rFonts w:ascii="SimSun" w:hAnsi="SimSun" w:eastAsia="SimSun"/>
          <w:b w:val="0"/>
        </w:rPr>
        <w:t>本章聚焦验证系统的两个核心质量维度：①各模型独立效果；②意图流程效果。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6.1 各模型独立效果测试</w:t>
      </w:r>
    </w:p>
    <w:p>
      <w:pPr>
        <w:pStyle w:val="Heading3"/>
      </w:pPr>
      <w:r>
        <w:rPr>
          <w:rFonts w:ascii="SimSun" w:hAnsi="SimSun" w:eastAsia="SimSun"/>
          <w:color w:val="1A3C6E"/>
        </w:rPr>
        <w:t>6.1.1 点焊质量判断模型测试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缺陷分类准确率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测试集（≥1500条）评估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总体准确率≥96%\n每类召回率≥90%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混淆矩阵分析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5×5矩阵，关注虚焊vs未熔合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最大混淆率&lt;8%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边界样本测试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标注员判定困难的样本集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准确率≥85%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鲁棒性测试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±5%/±10%/±15%噪声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±5%下降&lt;3%\n±10%下降&lt;8%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新工况泛化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新材料/新设备测试集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准确率≥88%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推理时延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批量100次P50/P99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GPU: P50&lt;10ms\nCPU: P50&lt;50ms</w:t>
            </w:r>
          </w:p>
        </w:tc>
      </w:tr>
    </w:tbl>
    <w:p/>
    <w:p>
      <w:pPr>
        <w:pStyle w:val="Heading3"/>
      </w:pPr>
      <w:r>
        <w:rPr>
          <w:rFonts w:ascii="SimSun" w:hAnsi="SimSun" w:eastAsia="SimSun"/>
          <w:color w:val="1A3C6E"/>
        </w:rPr>
        <w:t>6.1.2 工艺参数预测模型（LLM方案）测试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参数推荐准确率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与已知工艺评定比对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电流±0.5kA\n压力±0.3kN\n时间±20ms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知识检索命中率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Top-3知识来源命中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≥95%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机理约束通过率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通过5个机理模型校验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首次≥80%\n调整后≥95%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可解释性评分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工程师评分1-5分，100条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平均≥4.0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边界工况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新材料/极端板厚推荐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不合理率&lt;15%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知识更新效果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新增知识召回率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≥90%</w:t>
            </w:r>
          </w:p>
        </w:tc>
      </w:tr>
    </w:tbl>
    <w:p/>
    <w:p>
      <w:pPr>
        <w:pStyle w:val="Heading3"/>
      </w:pPr>
      <w:r>
        <w:rPr>
          <w:rFonts w:ascii="SimSun" w:hAnsi="SimSun" w:eastAsia="SimSun"/>
          <w:color w:val="1A3C6E"/>
        </w:rPr>
        <w:t>6.1.3 机理约束模型测试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热传导验证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预测温度场vs红外实测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关键点温差≤15%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熔核生长验证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预测尺寸vs金相实测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直径误差≤0.3mm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焊接窗口验证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预测窗口vs实际评定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覆盖率≥90%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飞溅预测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历史飞溅样本评估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召回率≥85%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残余应力趋势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预测vs XRD实测趋势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一致率≥90%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1A3C6E"/>
        </w:rPr>
        <w:t>6.2 意图流程效果测试</w:t>
      </w:r>
    </w:p>
    <w:p>
      <w:pPr>
        <w:pStyle w:val="Heading3"/>
      </w:pPr>
      <w:r>
        <w:rPr>
          <w:rFonts w:ascii="SimSun" w:hAnsi="SimSun" w:eastAsia="SimSun"/>
          <w:color w:val="1A3C6E"/>
        </w:rPr>
        <w:t>6.2.1 意图分类与任务分解测试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意图分类准确率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测试集500条，5个类别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≥97%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多意图识别率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复合查询拆分准确率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≥90%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歧义查询处理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正确追问率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≥85%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任务分解完整性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关键任务遗漏率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&lt;5%</w:t>
            </w:r>
          </w:p>
        </w:tc>
      </w:tr>
    </w:tbl>
    <w:p/>
    <w:p>
      <w:pPr>
        <w:pStyle w:val="Heading3"/>
      </w:pPr>
      <w:r>
        <w:rPr>
          <w:rFonts w:ascii="SimSun" w:hAnsi="SimSun" w:eastAsia="SimSun"/>
          <w:color w:val="1A3C6E"/>
        </w:rPr>
        <w:t>6.2.2 工具调用与结果融合测试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工具调用准确率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正确调用所需工具的比例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≥98%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参数传递正确率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关键参数遗漏率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&lt;3%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冲突消解正确率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多工具冲突消解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≥95%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人机协同延迟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人工介入P90延迟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P90&lt;30分钟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1A3C6E"/>
        </w:rPr>
        <w:t>6.3 端到端全流程测试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测试流程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质量诊断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查询→分类→调用→展示→反馈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时延&lt;10s\n准确≥96%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参数推荐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查询→推荐→校验→展示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时延&lt;15s\n通过机理校验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故障排查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多意图→分析→定位→建议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时延&lt;20s\n准确≥90%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多轮交互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连续查询→上下文保持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保持率≥95%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人机协同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置信度低→触发审核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触发正确率≥98%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A3C6E"/>
        </w:rPr>
        <w:t>七、数据回灌与模型优化</w:t>
      </w:r>
    </w:p>
    <w:p>
      <w:pPr>
        <w:spacing w:after="120"/>
      </w:pPr>
      <w:r>
        <w:rPr>
          <w:rFonts w:ascii="SimSun" w:hAnsi="SimSun" w:eastAsia="SimSun"/>
          <w:b w:val="0"/>
        </w:rPr>
        <w:t>数据回灌（Data Feedback）是指将模型在生产环境中的推理结果、用户反馈和实际效果数据重新采集、标注并回灌到训练数据集中，形成“数据收集→模型训练→在线推理→效果评估→数据回灌→模型优化”的持续学习闭环。这是保障模型长期效果不衰减的关键机制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7.1 数据回灌闭环架构</w:t>
      </w:r>
    </w:p>
    <w:p>
      <w:pPr>
        <w:spacing w:after="120"/>
      </w:pPr>
      <w:r>
        <w:rPr>
          <w:rFonts w:ascii="SimSun" w:hAnsi="SimSun" w:eastAsia="SimSun"/>
          <w:b w:val="0"/>
        </w:rPr>
        <w:t>数据回灌闭环包含7个核心环节：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环节1—推理结果采集：在生产环境记录每条推理请求的输入、输出、模型版本、推理时延、置信度等信息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环节2—用户反馈收集：记录用户对模型输出的操作（接受/修改/拒绝）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环节3—效果监控指标：实时监控准确率/召回率/时延，设定触发回灌阈值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环节4—数据筛选与采样：低置信度全量、高置信度按比例采样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环节5—人工审核标注：筛选的候选数据经人工审核后进入标注库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环节6—增量训练：标注数据达到批量阈值后触发训练</w:t>
      </w:r>
    </w:p>
    <w:p>
      <w:pPr>
        <w:pStyle w:val="ListBullet"/>
        <w:spacing w:after="60"/>
      </w:pPr>
      <w:r>
        <w:rPr>
          <w:rFonts w:ascii="SimSun" w:hAnsi="SimSun" w:eastAsia="SimSun"/>
        </w:rPr>
        <w:t>环节7—模型评估与发布：A/B测试通过后灰度上线</w:t>
      </w:r>
    </w:p>
    <w:p>
      <w:pPr>
        <w:pStyle w:val="Heading2"/>
      </w:pPr>
      <w:r>
        <w:rPr>
          <w:rFonts w:ascii="SimSun" w:hAnsi="SimSun" w:eastAsia="SimSun"/>
          <w:color w:val="1A3C6E"/>
        </w:rPr>
        <w:t>7.2 数据回灌触发策略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触发模式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指标驱动\n（紧急触发）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准确率下降&gt;2%\n或接受率&lt;70%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紧急回灌\n处理最近7天数据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随需触发\n24h内完成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指标驱动\n（预警触发）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准确率下降1-2%\n或数据漂移检测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计划回灌\n处理最近14天数据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随需触发\n72h内完成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周期驱动\n（常规回灌）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每2周\n或累计5000条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常规增量训练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每2周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周期驱动\n（全量重训）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每季度一次\n或架构升级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全量数据重训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每季度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1A3C6E"/>
        </w:rPr>
        <w:t>7.3 回灌数据筛选策略</w:t>
      </w:r>
    </w:p>
    <w:p>
      <w:pPr>
        <w:pStyle w:val="ListBullet"/>
        <w:spacing w:after="60"/>
      </w:pPr>
      <w:r>
        <w:rPr>
          <w:rFonts w:ascii="SimSun" w:hAnsi="SimSun" w:eastAsia="SimSun"/>
        </w:rPr>
        <w:t>低置信度全量采样：模型置信度&lt;0.7的推理结果全量进入回灌候选池（约占总量的5-10%）</w:t>
      </w:r>
    </w:p>
    <w:p>
      <w:pPr>
        <w:pStyle w:val="ListBullet"/>
        <w:spacing w:after="60"/>
      </w:pPr>
      <w:r>
        <w:rPr>
          <w:rFonts w:ascii="SimSun" w:hAnsi="SimSun" w:eastAsia="SimSun"/>
        </w:rPr>
        <w:t>高置信度随机采样：置信度≥0.9的结果按5%比例随机采样</w:t>
      </w:r>
    </w:p>
    <w:p>
      <w:pPr>
        <w:pStyle w:val="ListBullet"/>
        <w:spacing w:after="60"/>
      </w:pPr>
      <w:r>
        <w:rPr>
          <w:rFonts w:ascii="SimSun" w:hAnsi="SimSun" w:eastAsia="SimSun"/>
        </w:rPr>
        <w:t>边界样本优先：与已有训练集特征分布差异大的样本优先入选</w:t>
      </w:r>
    </w:p>
    <w:p>
      <w:pPr>
        <w:pStyle w:val="ListBullet"/>
        <w:spacing w:after="60"/>
      </w:pPr>
      <w:r>
        <w:rPr>
          <w:rFonts w:ascii="SimSun" w:hAnsi="SimSun" w:eastAsia="SimSun"/>
        </w:rPr>
        <w:t>错误样本必选：用户明确修改/拒绝的样本必须进入标注流程</w:t>
      </w:r>
    </w:p>
    <w:p>
      <w:pPr>
        <w:pStyle w:val="ListBullet"/>
        <w:spacing w:after="60"/>
      </w:pPr>
      <w:r>
        <w:rPr>
          <w:rFonts w:ascii="SimSun" w:hAnsi="SimSun" w:eastAsia="SimSun"/>
        </w:rPr>
        <w:t>新工况覆盖：检测到新材料组合/新设备状态的样本优先入选</w:t>
      </w:r>
    </w:p>
    <w:p>
      <w:pPr>
        <w:pStyle w:val="ListBullet"/>
        <w:spacing w:after="60"/>
      </w:pPr>
      <w:r>
        <w:rPr>
          <w:rFonts w:ascii="SimSun" w:hAnsi="SimSun" w:eastAsia="SimSun"/>
        </w:rPr>
        <w:t>类别平衡控制：确保各缺陷类别的回灌比例均衡</w:t>
      </w:r>
    </w:p>
    <w:p>
      <w:pPr>
        <w:pStyle w:val="Heading2"/>
      </w:pPr>
      <w:r>
        <w:rPr>
          <w:rFonts w:ascii="SimSun" w:hAnsi="SimSun" w:eastAsia="SimSun"/>
          <w:color w:val="1A3C6E"/>
        </w:rPr>
        <w:t>7.4 增量训练策略</w:t>
      </w:r>
    </w:p>
    <w:p>
      <w:pPr>
        <w:pStyle w:val="ListBullet"/>
        <w:spacing w:after="60"/>
      </w:pPr>
      <w:r>
        <w:rPr>
          <w:rFonts w:ascii="SimSun" w:hAnsi="SimSun" w:eastAsia="SimSun"/>
        </w:rPr>
        <w:t>增量学习（Incremental Learning）：基于已有模型参数，仅用新增标注数据进行微调</w:t>
      </w:r>
    </w:p>
    <w:p>
      <w:pPr>
        <w:pStyle w:val="ListBullet"/>
        <w:spacing w:after="60"/>
      </w:pPr>
      <w:r>
        <w:rPr>
          <w:rFonts w:ascii="SimSun" w:hAnsi="SimSun" w:eastAsia="SimSun"/>
        </w:rPr>
        <w:t>经验回放（Experience Replay）：在增量训练中混入5-10%的历史重要样本，防止灾难性遗忘</w:t>
      </w:r>
    </w:p>
    <w:p>
      <w:pPr>
        <w:pStyle w:val="ListBullet"/>
        <w:spacing w:after="60"/>
      </w:pPr>
      <w:r>
        <w:rPr>
          <w:rFonts w:ascii="SimSun" w:hAnsi="SimSun" w:eastAsia="SimSun"/>
        </w:rPr>
        <w:t>全量重训（Full Retraining）：数据分布发生显著变化时使用全部历史数据重新训练</w:t>
      </w:r>
    </w:p>
    <w:p>
      <w:pPr>
        <w:pStyle w:val="ListBullet"/>
        <w:spacing w:after="60"/>
      </w:pPr>
      <w:r>
        <w:rPr>
          <w:rFonts w:ascii="SimSun" w:hAnsi="SimSun" w:eastAsia="SimSun"/>
        </w:rPr>
        <w:t>模型融合（Model Ensemble）：保留最近3个月的月度模型，推理时加权投票</w:t>
      </w:r>
    </w:p>
    <w:p>
      <w:pPr>
        <w:pStyle w:val="ListBullet"/>
        <w:spacing w:after="60"/>
      </w:pPr>
      <w:r>
        <w:rPr>
          <w:rFonts w:ascii="SimSun" w:hAnsi="SimSun" w:eastAsia="SimSun"/>
        </w:rPr>
        <w:t>版本回滚预案：每个新模型上线后保留前一个版本至少2周</w:t>
      </w:r>
    </w:p>
    <w:p>
      <w:pPr>
        <w:pStyle w:val="Heading2"/>
      </w:pPr>
      <w:r>
        <w:rPr>
          <w:rFonts w:ascii="SimSun" w:hAnsi="SimSun" w:eastAsia="SimSun"/>
          <w:color w:val="1A3C6E"/>
        </w:rPr>
        <w:t>7.5 模型优化效果评估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评估方法</w:t>
            </w:r>
          </w:p>
        </w:tc>
        <w:tc>
          <w:tcPr>
            <w:tcW w:type="dxa" w:w="2769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成功标准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准确率提升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固定测试集比较更新前后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提升≥1%或不下降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边界样本改善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边界样本集评估召回率变化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提升≥3%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新工况效果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新材料/新工况测试集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准确率≥88%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回灌效率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有效数据占比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≥40%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数据漂移监控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生产数据与训练数据的KL散度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下降或稳定</w:t>
            </w:r>
          </w:p>
        </w:tc>
      </w:tr>
      <w:tr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用户满意度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接受率变化</w:t>
            </w:r>
          </w:p>
        </w:tc>
        <w:tc>
          <w:tcPr>
            <w:tcW w:type="dxa" w:w="2769"/>
          </w:tcPr>
          <w:p>
            <w:r>
              <w:rPr>
                <w:rFonts w:ascii="SimSun" w:hAnsi="SimSun" w:eastAsia="SimSun"/>
                <w:sz w:val="19"/>
              </w:rPr>
              <w:t>保持≥80%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1A3C6E"/>
        </w:rPr>
        <w:t>7.6 持续学习运营机制</w:t>
      </w:r>
    </w:p>
    <w:p>
      <w:pPr>
        <w:pStyle w:val="ListBullet"/>
        <w:spacing w:after="60"/>
      </w:pPr>
      <w:r>
        <w:rPr>
          <w:rFonts w:ascii="SimSun" w:hAnsi="SimSun" w:eastAsia="SimSun"/>
        </w:rPr>
        <w:t>数据回灌看板：实时展示回灌闭环各环节的流转数量、处理时效、效果指标</w:t>
      </w:r>
    </w:p>
    <w:p>
      <w:pPr>
        <w:pStyle w:val="ListBullet"/>
        <w:spacing w:after="60"/>
      </w:pPr>
      <w:r>
        <w:rPr>
          <w:rFonts w:ascii="SimSun" w:hAnsi="SimSun" w:eastAsia="SimSun"/>
        </w:rPr>
        <w:t>标注质量抽检：每次回灌标注完成后抽取10%进行质量复核，Kappa≥0.8</w:t>
      </w:r>
    </w:p>
    <w:p>
      <w:pPr>
        <w:pStyle w:val="ListBullet"/>
        <w:spacing w:after="60"/>
      </w:pPr>
      <w:r>
        <w:rPr>
          <w:rFonts w:ascii="SimSun" w:hAnsi="SimSun" w:eastAsia="SimSun"/>
        </w:rPr>
        <w:t>模型效果日报：每日自动产出生产线模型效果报告，标注异常波动</w:t>
      </w:r>
    </w:p>
    <w:p>
      <w:pPr>
        <w:pStyle w:val="ListBullet"/>
        <w:spacing w:after="60"/>
      </w:pPr>
      <w:r>
        <w:rPr>
          <w:rFonts w:ascii="SimSun" w:hAnsi="SimSun" w:eastAsia="SimSun"/>
        </w:rPr>
        <w:t>季度模型评审：每季度组织效果评审会，评估是否需要架构升级</w:t>
      </w:r>
    </w:p>
    <w:p>
      <w:pPr>
        <w:pStyle w:val="ListBullet"/>
        <w:spacing w:after="60"/>
      </w:pPr>
      <w:r>
        <w:rPr>
          <w:rFonts w:ascii="SimSun" w:hAnsi="SimSun" w:eastAsia="SimSun"/>
        </w:rPr>
        <w:t>知识库定期更新：每季度更新RAG知识库，补充新标准、新案例</w:t>
      </w:r>
    </w:p>
    <w:p>
      <w:pPr>
        <w:pStyle w:val="ListBullet"/>
        <w:spacing w:after="60"/>
      </w:pPr>
      <w:r>
        <w:rPr>
          <w:rFonts w:ascii="SimSun" w:hAnsi="SimSun" w:eastAsia="SimSun"/>
        </w:rPr>
        <w:t>回灌效果复盘：每次回灌完成后输出复盘报告</w:t>
      </w:r>
    </w:p>
    <w:p>
      <w:pPr>
        <w:pStyle w:val="Heading1"/>
      </w:pPr>
      <w:r>
        <w:rPr>
          <w:rFonts w:ascii="SimSun" w:hAnsi="SimSun" w:eastAsia="SimSun"/>
          <w:color w:val="1A3C6E"/>
        </w:rPr>
        <w:t>八、协同编排引擎</w:t>
      </w:r>
    </w:p>
    <w:p>
      <w:pPr>
        <w:pStyle w:val="Heading2"/>
      </w:pPr>
      <w:r>
        <w:rPr>
          <w:rFonts w:ascii="SimSun" w:hAnsi="SimSun" w:eastAsia="SimSun"/>
          <w:color w:val="1A3C6E"/>
        </w:rPr>
        <w:t>8.1 任务分解与路由</w:t>
      </w:r>
    </w:p>
    <w:p>
      <w:pPr>
        <w:spacing w:after="120"/>
      </w:pPr>
      <w:r>
        <w:rPr>
          <w:rFonts w:ascii="SimSun" w:hAnsi="SimSun" w:eastAsia="SimSun"/>
          <w:b w:val="0"/>
        </w:rPr>
        <w:t>5步路由协议：Query解析→意图分类→工具选择→参数填充→调用执行。JSON调用格式包含task_id、tool_name、params、timeout、priority等字段。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8.2 大模型→小模型调用协议</w:t>
      </w:r>
    </w:p>
    <w:p>
      <w:pPr>
        <w:pStyle w:val="Heading2"/>
      </w:pPr>
      <w:r>
        <w:rPr>
          <w:rFonts w:ascii="SimSun" w:hAnsi="SimSun" w:eastAsia="SimSun"/>
          <w:color w:val="1A3C6E"/>
        </w:rPr>
        <w:t>8.3 结果融合与冲突消解</w:t>
      </w:r>
    </w:p>
    <w:p>
      <w:pPr>
        <w:spacing w:after="120"/>
      </w:pPr>
      <w:r>
        <w:rPr>
          <w:rFonts w:ascii="SimSun" w:hAnsi="SimSun" w:eastAsia="SimSun"/>
          <w:b w:val="0"/>
        </w:rPr>
        <w:t>6级冲突消解优先级：机理模型 &gt; 小模型 &gt; 大模型 &gt; 规则 &gt; 默认值 &gt; 人工。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8.4 工作流模板设计</w:t>
      </w:r>
    </w:p>
    <w:p>
      <w:pPr>
        <w:spacing w:after="120"/>
      </w:pPr>
      <w:r>
        <w:rPr>
          <w:rFonts w:ascii="SimSun" w:hAnsi="SimSun" w:eastAsia="SimSun"/>
          <w:b w:val="0"/>
        </w:rPr>
        <w:t>5个工作流模板：质量诊断、参数推荐、排障排查、自动控制、数据分析。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8.5 人机协同审核机制</w:t>
      </w:r>
    </w:p>
    <w:p>
      <w:pPr>
        <w:pStyle w:val="Heading1"/>
      </w:pPr>
      <w:r>
        <w:rPr>
          <w:rFonts w:ascii="SimSun" w:hAnsi="SimSun" w:eastAsia="SimSun"/>
          <w:color w:val="1A3C6E"/>
        </w:rPr>
        <w:t>九、全流程实施要点与检查清单</w:t>
      </w:r>
    </w:p>
    <w:p>
      <w:pPr>
        <w:pStyle w:val="Heading2"/>
      </w:pPr>
      <w:r>
        <w:rPr>
          <w:rFonts w:ascii="SimSun" w:hAnsi="SimSun" w:eastAsia="SimSun"/>
          <w:color w:val="1A3C6E"/>
        </w:rPr>
        <w:t>9.1 全链路总览</w:t>
      </w:r>
    </w:p>
    <w:p>
      <w:pPr>
        <w:spacing w:after="120"/>
      </w:pPr>
      <w:r>
        <w:rPr>
          <w:rFonts w:ascii="SimSun" w:hAnsi="SimSun" w:eastAsia="SimSun"/>
          <w:b w:val="0"/>
        </w:rPr>
        <w:t>全链路分为7个阶段、25个关键节点：S1数据收集→S2数据清洗→S3数据标注→S4模型开发→S5模型部署→S6在线测试→S7闭环验证。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9.2 各环节关键质量门</w:t>
      </w:r>
    </w:p>
    <w:p>
      <w:pPr>
        <w:spacing w:after="120"/>
      </w:pPr>
      <w:r>
        <w:rPr>
          <w:rFonts w:ascii="SimSun" w:hAnsi="SimSun" w:eastAsia="SimSun"/>
          <w:b w:val="0"/>
        </w:rPr>
        <w:t>S1数据收集：数据源覆盖度、采集频率、元数据完整性。S2清洗：格式统一、异常值标注、噪声处理。S3标注：标注规范、Kappa≥0.8、抽审≥10%。S4模型开发：训练/测试分离、过拟合检查。S5部署：接口兼容性、性能基准、压力测试。S6测试：实验隔离、观察周期≥7天、p&lt;0.05。S7闭环：端到端时延≤15s、反馈率≥80%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9.3 常见问题与应对</w:t>
      </w:r>
    </w:p>
    <w:p>
      <w:pPr>
        <w:pStyle w:val="Heading1"/>
      </w:pPr>
      <w:r>
        <w:rPr>
          <w:rFonts w:ascii="SimSun" w:hAnsi="SimSun" w:eastAsia="SimSun"/>
          <w:color w:val="1A3C6E"/>
        </w:rPr>
        <w:t>十、平台算子实现</w:t>
      </w:r>
    </w:p>
    <w:p>
      <w:pPr>
        <w:pStyle w:val="Heading2"/>
      </w:pPr>
      <w:r>
        <w:rPr>
          <w:rFonts w:ascii="SimSun" w:hAnsi="SimSun" w:eastAsia="SimSun"/>
          <w:color w:val="1A3C6E"/>
        </w:rPr>
        <w:t>10.1 算子架构</w:t>
      </w:r>
    </w:p>
    <w:p>
      <w:pPr>
        <w:pStyle w:val="Heading2"/>
      </w:pPr>
      <w:r>
        <w:rPr>
          <w:rFonts w:ascii="SimSun" w:hAnsi="SimSun" w:eastAsia="SimSun"/>
          <w:color w:val="1A3C6E"/>
        </w:rPr>
        <w:t>10.2 核心算子清单</w:t>
      </w:r>
    </w:p>
    <w:p>
      <w:pPr>
        <w:spacing w:after="120"/>
      </w:pPr>
      <w:r>
        <w:rPr>
          <w:rFonts w:ascii="SimSun" w:hAnsi="SimSun" w:eastAsia="SimSun"/>
          <w:b w:val="0"/>
        </w:rPr>
        <w:t>9个核心算子：LLM Agent算子、RAG检索器算子、质量判断算子（5类缺陷概率分布输出）、参数预测算子（LLM方案）、机理校验算子、任务规划算子、结果融合算子、人工审核算子、机理总控算子。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10.3 算子间数据流转</w:t>
      </w:r>
    </w:p>
    <w:p>
      <w:pPr>
        <w:pStyle w:val="Heading1"/>
      </w:pPr>
      <w:r>
        <w:rPr>
          <w:rFonts w:ascii="SimSun" w:hAnsi="SimSun" w:eastAsia="SimSun"/>
          <w:color w:val="1A3C6E"/>
        </w:rPr>
        <w:t>十一、资源需求</w:t>
      </w:r>
    </w:p>
    <w:p>
      <w:pPr>
        <w:pStyle w:val="Heading2"/>
      </w:pPr>
      <w:r>
        <w:rPr>
          <w:rFonts w:ascii="SimSun" w:hAnsi="SimSun" w:eastAsia="SimSun"/>
          <w:color w:val="1A3C6E"/>
        </w:rPr>
        <w:t>11.1 人力资源需求</w:t>
      </w:r>
    </w:p>
    <w:p>
      <w:pPr>
        <w:spacing w:after="120"/>
      </w:pPr>
      <w:r>
        <w:rPr>
          <w:rFonts w:ascii="SimSun" w:hAnsi="SimSun" w:eastAsia="SimSun"/>
          <w:b w:val="0"/>
        </w:rPr>
        <w:t>六大职能组共28-38人：大模型组（4-6人）、小模型组（5-7人）、平台工程组（6-8人）、数据工程组（6-8人）、测试验证组（4-5人）、项目管理组（3-4人）。</w:t>
      </w:r>
    </w:p>
    <w:p>
      <w:pPr>
        <w:pStyle w:val="Heading2"/>
      </w:pPr>
      <w:r>
        <w:rPr>
          <w:rFonts w:ascii="SimSun" w:hAnsi="SimSun" w:eastAsia="SimSun"/>
          <w:color w:val="1A3C6E"/>
        </w:rPr>
        <w:t>11.2 硬件资源需求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资源类型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GPU训练服务器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8×A100 80GB, NVLink, 2TB SSD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2台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LLM微调训练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GPU推理服务器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4×A100 80GB, 512GB内存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2台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LLM在线推理（1主1备）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GPU工作站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RTX 4090 24GB, 64GB内存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2台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质量判断训练/推理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CPU工作站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64核CPU, 256GB内存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3台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数据清洗/机理运行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标注工作站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24寸显示器, 32GB内存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5-10台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数据标注、人工审核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存储系统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分布式NAS/S3, 50TB+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1套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数据/模型/日志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网络设备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25GbE+1GbE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1套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节点间通信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1A3C6E"/>
        </w:rPr>
        <w:t>11.3 软件与工具资源需求</w:t>
      </w:r>
    </w:p>
    <w:p>
      <w:pPr>
        <w:spacing w:after="120"/>
      </w:pPr>
      <w:r>
        <w:rPr>
          <w:rFonts w:ascii="SimSun" w:hAnsi="SimSun" w:eastAsia="SimSun"/>
          <w:b w:val="0"/>
        </w:rPr>
        <w:t>Kubernetes、Docker、Kafka、PyTorch、vLLM、bitsandbytes、DeepSpeed、ONNX Runtime、Airflow、MLflow、DVC、Prometheus、Grafana、ELK。</w:t>
      </w:r>
    </w:p>
    <w:p>
      <w:pPr>
        <w:pStyle w:val="Heading1"/>
      </w:pPr>
      <w:r>
        <w:rPr>
          <w:rFonts w:ascii="SimSun" w:hAnsi="SimSun" w:eastAsia="SimSun"/>
          <w:color w:val="1A3C6E"/>
        </w:rPr>
        <w:t>十二、落地实施路径</w:t>
      </w:r>
    </w:p>
    <w:p>
      <w:pPr>
        <w:pStyle w:val="Heading2"/>
      </w:pPr>
      <w:r>
        <w:rPr>
          <w:rFonts w:ascii="SimSun" w:hAnsi="SimSun" w:eastAsia="SimSun"/>
          <w:color w:val="1A3C6E"/>
        </w:rPr>
        <w:t>12.1 阶段实施计划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2076"/>
            <w:shd w:fill="1A3C6E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P0 基础设施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第1-2月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硬件采购/集群搭建/数据管道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K8s集群就绪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P1 模型开发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第3-4月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质量判断/机理/LLM适配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所有模型V1完成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P2 平台集成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第5-6月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算子开发/编排引擎/部署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端到端流程可运行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P3 在线验证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第7-8月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A/B测试/灰度发布/评估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核心指标达标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P4 产线试用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第9-10月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单条产线全量上线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通过验收测试</w:t>
            </w:r>
          </w:p>
        </w:tc>
      </w:tr>
      <w:tr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P5 规模化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第11-12月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推广到多条产线</w:t>
            </w:r>
          </w:p>
        </w:tc>
        <w:tc>
          <w:tcPr>
            <w:tcW w:type="dxa" w:w="2076"/>
          </w:tcPr>
          <w:p>
            <w:r>
              <w:rPr>
                <w:rFonts w:ascii="SimSun" w:hAnsi="SimSun" w:eastAsia="SimSun"/>
                <w:sz w:val="19"/>
              </w:rPr>
              <w:t>推广到≥3条产线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1A3C6E"/>
        </w:rPr>
        <w:t>12.2 性能指标与验收标准</w:t>
      </w:r>
    </w:p>
    <w:p>
      <w:pPr>
        <w:spacing w:after="120"/>
      </w:pPr>
      <w:r>
        <w:rPr>
          <w:rFonts w:ascii="SimSun" w:hAnsi="SimSun" w:eastAsia="SimSun"/>
          <w:b w:val="0"/>
        </w:rPr>
        <w:t>质量判断准确率≥96%、缺陷检出率≥95%、参数推荐通过机理校验率≥95%、全流程端到端时延≤15s、系统可用率≥99.5%。</w:t>
      </w:r>
    </w:p>
    <w:p>
      <w:pPr>
        <w:pStyle w:val="Heading1"/>
      </w:pPr>
      <w:r>
        <w:rPr>
          <w:rFonts w:ascii="SimSun" w:hAnsi="SimSun" w:eastAsia="SimSun"/>
          <w:color w:val="1A3C6E"/>
        </w:rPr>
        <w:t>十三、风险与应对</w:t>
      </w:r>
    </w:p>
    <w:p>
      <w:pPr>
        <w:spacing w:after="120"/>
      </w:pPr>
      <w:r>
        <w:rPr>
          <w:rFonts w:ascii="SimSun" w:hAnsi="SimSun" w:eastAsia="SimSun"/>
          <w:b w:val="0"/>
        </w:rPr>
        <w:t>数据风险（数据不足、标注质量差、数据漂移）、模型风险（过拟合、泛化差、LLM幻觉）、工程风险（部署延迟、接口不兼容、性能瓶颈）、管理风险（人员变动、进度延期、需求变更）。</w:t>
      </w:r>
    </w:p>
    <w:p/>
    <w:p>
      <w:pPr>
        <w:spacing w:after="120"/>
        <w:jc w:val="center"/>
      </w:pPr>
      <w:r>
        <w:rPr>
          <w:rFonts w:ascii="SimSun" w:hAnsi="SimSun" w:eastAsia="SimSun"/>
          <w:b w:val="0"/>
          <w:sz w:val="22"/>
        </w:rPr>
        <w:t>— 文档结束 —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