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i w:val="0"/>
          <w:color w:val="000000"/>
          <w:sz w:val="46"/>
        </w:rPr>
        <w:t>汽车焊接工业 AI 平台开发计划</w:t>
      </w:r>
    </w:p>
    <w:p>
      <w:pPr>
        <w:spacing w:after="360"/>
      </w:pPr>
      <w:r>
        <w:rPr>
          <w:rFonts w:ascii="Calibri" w:hAnsi="Calibri" w:eastAsia="Microsoft YaHei"/>
          <w:b w:val="0"/>
          <w:i w:val="0"/>
          <w:color w:val="667085"/>
          <w:sz w:val="27"/>
        </w:rPr>
        <w:t>基于现有平台能力与 Cube Studio 功能体系的整合方案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000000"/>
          <w:sz w:val="22"/>
        </w:rPr>
        <w:t>项目：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面向汽车制造过程的工业智能体关键技术开发与应用研究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000000"/>
          <w:sz w:val="22"/>
        </w:rPr>
        <w:t>文档用途：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项目评审、开发排期与范围确认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000000"/>
          <w:sz w:val="22"/>
        </w:rPr>
        <w:t>日期：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2026 年 7 月 12 日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000000"/>
          <w:sz w:val="22"/>
        </w:rPr>
        <w:t>状态：</w:t>
      </w:r>
      <w:r>
        <w:rPr>
          <w:rFonts w:ascii="Calibri" w:hAnsi="Calibri" w:eastAsia="Microsoft YaHei"/>
          <w:b w:val="0"/>
          <w:i w:val="0"/>
          <w:color w:val="000000"/>
          <w:sz w:val="22"/>
        </w:rPr>
        <w:t>规划稿</w:t>
      </w:r>
    </w:p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 xml:space="preserve">规划结论  </w:t>
            </w:r>
            <w:r>
              <w:rPr>
                <w:rFonts w:ascii="Calibri" w:hAnsi="Calibri" w:eastAsia="Microsoft YaHei"/>
                <w:b w:val="0"/>
                <w:i w:val="0"/>
                <w:color w:val="243447"/>
                <w:sz w:val="21"/>
              </w:rPr>
              <w:t>稳定可交付版 1 个月完成，企业 MLOps 核心版累计 2-3 个月完成，全部规划功能累计 5 个月完成。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1. 项目概述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当前项目已具备 React + FastAPI 的 Web 平台基础，覆盖可视化工作流、79 个算法与工业算子、基础训练、模型库、知识库、数据标注、资源监控和智能体协同。下一阶段将吸收 Cube Studio 的 MLOps、云原生算力、在线开发、模型服务与大模型能力，形成面向汽车焊接制造的工业 AI 全生命周期平台。</w:t>
      </w:r>
    </w:p>
    <w:p>
      <w:pPr>
        <w:spacing w:after="120" w:line="264" w:lineRule="auto"/>
      </w:pPr>
      <w:r>
        <w:rPr>
          <w:rFonts w:ascii="Calibri" w:hAnsi="Calibri" w:eastAsia="Microsoft YaHei"/>
          <w:b/>
          <w:i w:val="0"/>
          <w:color w:val="243447"/>
          <w:sz w:val="22"/>
        </w:rPr>
        <w:t>建设原则：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保留当前平台轻量、可视化和焊接领域专用能力，通过 Local Executor 与 Kubernetes Executor 双执行后端逐步升级，避免云原生能力阻塞现有场景交付。</w:t>
      </w:r>
    </w:p>
    <w:p>
      <w:pPr>
        <w:pStyle w:val="Heading1"/>
      </w:pPr>
      <w:r>
        <w:t>2. 项目目标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在 1 个月内形成可稳定演示、可测试、可部署的工业工作流平台。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在累计 2-3 个月内完成数据、实验、训练、Pipeline 调度、模型注册与推理服务闭环。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在累计 5 个月内完成 Kubernetes 执行、Notebook、多集群资源、标注、AIHub、LLM 网关与工业智能体能力。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建立焊接质量预测、参数推荐、异常检测和机理融合四套可复用业务模板。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建立可追溯的数据、实验、模型、服务和运行链路，以及自动化测试与运维体系。</w:t>
      </w:r>
    </w:p>
    <w:p>
      <w:pPr>
        <w:pStyle w:val="Heading1"/>
      </w:pPr>
      <w:r>
        <w:t>3. 项目范围</w:t>
      </w:r>
    </w:p>
    <w:p>
      <w:pPr>
        <w:pStyle w:val="Heading2"/>
      </w:pPr>
      <w:r>
        <w:t>3.1 纳入范围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平台治理：认证、项目、角色权限、审计、通知和配置管理。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数据智能：数据集、对象存储、数据探索、标注、知识库和知识图谱。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工作流：可视化编排、算子、调度、重试、恢复、日志、结果与制品。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模型工程：实验、训练、AutoML、模型注册、版本、评估和推理服务。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云原生能力：Kubernetes 执行、Notebook、镜像、GPU 与多集群资源管理。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大模型能力：RAG、智能体、统一 LLM 网关、微调模板和 AIHub。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工业场景：焊接机理模型、质量预测、参数推荐、缺陷诊断与边缘部署接口。</w:t>
      </w:r>
    </w:p>
    <w:p>
      <w:pPr>
        <w:pStyle w:val="Heading2"/>
      </w:pPr>
      <w:r>
        <w:t>3.2 暂不纳入范围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硬件采购、机房网络改造和第三方商业软件授权。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所有国产异构算力一次性适配；首期以 NVIDIA GPU 为基线。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真实商业租赁、支付和财务结算系统。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与 Cube Studio 数据库、页面和内部实现保持兼容。</w:t>
      </w:r>
    </w:p>
    <w:p>
      <w:pPr>
        <w:pStyle w:val="Heading1"/>
      </w:pPr>
      <w:r>
        <w:t>4. 当前能力与主要缺口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700"/>
        <w:gridCol w:w="41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功能域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已有能力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主要缺口</w:t>
            </w:r>
          </w:p>
        </w:tc>
        <w:trPr>
          <w:tblHeader/>
        </w:trPr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工作流与 DAG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画布、保存、运行、WebSocket、条件与循环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任务持久化、重试、恢复、调度和隔离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算子体系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79 个通用、机器学习、深度学习及焊接算子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类型契约、自定义容器算子、版本与兼容性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数据与制品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上传、预览、JSONL DataBus、本地文件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MinIO、数据版本、元数据、血缘和生命周期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训练与模型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sklearn、XGBoost、PyTorch、模型库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实验跟踪、模型版本、审批、部署关联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知识与标注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RAG、向量、图谱、规则标注页面/API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解析、重排、权限、多模态标注和审核闭环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资源与运维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单机指标、节点和设备信息管理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Kubernetes、GPU 调度、配额、日志和告警</w:t>
            </w:r>
          </w:p>
        </w:tc>
      </w:tr>
    </w:tbl>
    <w:p>
      <w:pPr>
        <w:spacing w:after="20"/>
      </w:pPr>
    </w:p>
    <w:p>
      <w:pPr>
        <w:pStyle w:val="Heading1"/>
      </w:pPr>
      <w:r>
        <w:t>5. 交付版本与周期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1500"/>
        <w:gridCol w:w="6010"/>
      </w:tblGrid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交付版本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完成时间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核心成果</w:t>
            </w:r>
          </w:p>
        </w:tc>
        <w:trPr>
          <w:tblHeader/>
        </w:trPr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稳定可交付版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1 个月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现有工作流、数据、算子、训练和知识库稳定化；完成工业演示闭环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企业 MLOps 核心版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累计第 2-3 个月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PostgreSQL、Redis、MinIO、实验、Pipeline 调度、模型注册和推理服务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全功能版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累计第 5 个月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Kubernetes、Notebook、多集群、标注、AIHub、LLM 网关和工业智能体</w:t>
            </w:r>
          </w:p>
        </w:tc>
      </w:tr>
    </w:tbl>
    <w:p>
      <w:pPr>
        <w:spacing w:after="20"/>
      </w:pPr>
    </w:p>
    <w:p>
      <w:pPr>
        <w:pStyle w:val="Heading1"/>
      </w:pPr>
      <w:r>
        <w:t>6. 分阶段开发计划</w:t>
      </w:r>
    </w:p>
    <w:p>
      <w:pPr>
        <w:pStyle w:val="Heading2"/>
      </w:pPr>
      <w:r>
        <w:t>阶段 0：基线治理与需求冻结（第 1 周）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建立页面、API、数据模型、算子和测试的唯一功能台账。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修复构建、国际化、工作流运行、测试隔离和环境配置问题。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冻结状态枚举、错误码、接口边界、数据存储和执行器架构。</w:t>
      </w:r>
    </w:p>
    <w:p>
      <w:pPr>
        <w:pStyle w:val="Heading2"/>
      </w:pPr>
      <w:r>
        <w:t>阶段 1：稳定可交付版（第 2-4 周）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补齐工作流版本、运行校验、日志、重试、超时、取消和结果制品。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统一 79 个算子的输入输出、异常、预览和序列化协议。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完善数据集、模型库、知识库、训练和四套焊接业务模板。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完成核心 E2E、部署说明、用户手册和演示脚本。</w:t>
      </w:r>
    </w:p>
    <w:p>
      <w:pPr>
        <w:pStyle w:val="Heading2"/>
      </w:pPr>
      <w:r>
        <w:t>阶段 2：企业 MLOps 核心版（第 5-12 周）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迁移 PostgreSQL、Redis/Celery 和 MinIO，建立数据库迁移与制品 URI。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完成实验跟踪、训练检查点、AutoML Trial、指标对比和 TensorBoard。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完成定时调度、补录、重试、依赖、并发、暂停恢复和实例保留。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完成模型注册、多版本、推理服务、在线测试、发布回滚、审计和通知。</w:t>
      </w:r>
    </w:p>
    <w:p>
      <w:pPr>
        <w:pStyle w:val="Heading2"/>
      </w:pPr>
      <w:r>
        <w:t>阶段 3：云原生算力与在线开发（第 13-16 周）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实现 Kubernetes Job/Pod 执行器、状态同步、日志、取消和回收。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实现 JupyterLab、VS Code、镜像目录、在线构建和 TensorBoard。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实现集群、资源组、节点、GPU、存储挂载、配额和资源监控。</w:t>
      </w:r>
    </w:p>
    <w:p>
      <w:pPr>
        <w:pStyle w:val="Heading2"/>
      </w:pPr>
      <w:r>
        <w:t>阶段 4：数据标注、AIHub 与大模型（第 17-20 周）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完成 SQL Lab、数据探索、Label Studio、多模态标注和审核闭环。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生产化 RAG、检索评估、权限过滤、智能体工具与人工审核。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实现 OpenAI 兼容 LLM 网关、vLLM、配额限速、调用监控和 LoRA 模板。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建设模型、算子、Pipeline 和工业应用统一 AIHub。</w:t>
      </w:r>
    </w:p>
    <w:p>
      <w:pPr>
        <w:pStyle w:val="Heading1"/>
      </w:pPr>
      <w:r>
        <w:t>7. 周度开发计划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项目以周为最小管理周期。每周结束前完成代码合并、自动化测试、演示验证和周交付物归档；未通过周验收的内容不得直接转入下一阶段。</w:t>
      </w:r>
    </w:p>
    <w:p>
      <w:pPr>
        <w:pStyle w:val="Heading2"/>
      </w:pPr>
      <w:r>
        <w:t>第 1 月：稳定可交付版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750"/>
        <w:gridCol w:w="4260"/>
        <w:gridCol w:w="2500"/>
      </w:tblGrid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周次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工作主题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具体工作内容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周交付物</w:t>
            </w:r>
          </w:p>
        </w:tc>
        <w:trPr>
          <w:tblHeader/>
        </w:trPr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1 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基线治理与范围冻结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盘点页面、API、模型、算子和测试；修复构建与环境问题；冻结状态、错误码、数据和执行器接口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功能台账、技术债清单、接口基线、可构建版本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2 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工作流与执行可靠性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完善保存、版本、运行前校验、取消、超时、重试、日志和错误详情；修复画布交互与进度状态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稳定工作流主链路、运行状态机、核心回归用例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3 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数据、算子与训练闭环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统一算子输入输出与异常协议；完善数据集、制品、训练、评估和模型保存；修复 79 个算子关键缺陷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算子协议、数据训练闭环、稳定演示版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4 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工业模板与首版交付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完成质量预测、参数推荐、异常检测、机理融合模板；补齐 E2E、部署说明、用户手册和演示数据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稳定可交付版、四套模板、首月验收报告</w:t>
            </w:r>
          </w:p>
        </w:tc>
      </w:tr>
    </w:tbl>
    <w:p>
      <w:pPr>
        <w:spacing w:after="20"/>
      </w:pPr>
    </w:p>
    <w:p>
      <w:pPr>
        <w:pStyle w:val="Heading2"/>
      </w:pPr>
      <w:r>
        <w:t>第 2 月：企业 MLOps 核心能力建设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750"/>
        <w:gridCol w:w="4260"/>
        <w:gridCol w:w="2500"/>
      </w:tblGrid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周次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工作主题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具体工作内容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周交付物</w:t>
            </w:r>
          </w:p>
        </w:tc>
        <w:trPr>
          <w:tblHeader/>
        </w:trPr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5 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生产存储与异步任务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迁移 PostgreSQL、Alembic、Redis/Celery 和 MinIO；统一制品 URI、配置与密钥管理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生产数据层、对象存储、异步任务框架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6 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实验与训练管理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建设实验、Run、参数、指标、标签、日志和制品；接入检查点、恢复、早停、对比和 TensorBoard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企业基础版、实验管理与训练追踪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7 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Pipeline 调度与权限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完成 Cron、补录、依赖、并发、超时、重试、暂停恢复；补充项目角色、审计和通知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Pipeline 调度器、实例管理、权限审计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8 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模型注册与基础推理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完成模型版本、阶段、指标和审批；实现基础推理、在线测试、健康检查和服务启停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模型注册中心、基础推理服务、第二月阶段报告</w:t>
            </w:r>
          </w:p>
        </w:tc>
      </w:tr>
    </w:tbl>
    <w:p>
      <w:pPr>
        <w:spacing w:after="20"/>
      </w:pPr>
    </w:p>
    <w:p>
      <w:pPr>
        <w:pStyle w:val="Heading2"/>
      </w:pPr>
      <w:r>
        <w:t>第 3 月：企业 MLOps 核心版完善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750"/>
        <w:gridCol w:w="4260"/>
        <w:gridCol w:w="2500"/>
      </w:tblGrid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周次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工作主题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具体工作内容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周交付物</w:t>
            </w:r>
          </w:p>
        </w:tc>
        <w:trPr>
          <w:tblHeader/>
        </w:trPr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9 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推理服务生产化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完善多版本发布、滚动升级、回滚、访问密钥、限流、服务日志和运行指标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生产级推理服务、版本发布与回滚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10 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权限、审计与通知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完善项目角色、资源权限、关键操作审计，并接入一种企业消息通知渠道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权限矩阵、审计日志、告警通知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11 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系统联调与性能优化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联调数据、Pipeline、实验、模型和服务链路；完成任务、日志、上传和推理性能优化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全链路联调版本、性能基线和问题清单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12 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MLOps 核心版验收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执行功能、E2E、权限、性能、安全、备份恢复和升级验证；收敛核心缺陷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企业 MLOps 核心版、第三月验收报告</w:t>
            </w:r>
          </w:p>
        </w:tc>
      </w:tr>
    </w:tbl>
    <w:p>
      <w:pPr>
        <w:spacing w:after="20"/>
      </w:pPr>
    </w:p>
    <w:p>
      <w:pPr>
        <w:pStyle w:val="Heading2"/>
      </w:pPr>
      <w:r>
        <w:t>第 4 月：云原生算力与在线开发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750"/>
        <w:gridCol w:w="4260"/>
        <w:gridCol w:w="2500"/>
      </w:tblGrid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周次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工作主题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具体工作内容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周交付物</w:t>
            </w:r>
          </w:p>
        </w:tc>
        <w:trPr>
          <w:tblHeader/>
        </w:trPr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13 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Kubernetes 基础接入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完成集群注册、命名空间、资源组、节点发现、访问凭据和连通性检查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集群管理基础、资源发现 API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14 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Kubernetes 执行器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将工作流节点提交为 Job/Pod；实现状态同步、日志、取消、超时和垃圾回收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Kubernetes Executor、任务运行闭环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15 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Notebook、镜像与 GPU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完成 JupyterLab、VS Code、镜像目录、在线构建、GPU 规格和节点调度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Notebook 在线开发、镜像管理、GPU 调度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16 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多集群与资源治理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完成多集群路由、存储挂载、资源配额以及集群、节点、Pod 和 GPU 监控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云原生版、多集群与资源监控</w:t>
            </w:r>
          </w:p>
        </w:tc>
      </w:tr>
    </w:tbl>
    <w:p>
      <w:pPr>
        <w:spacing w:after="20"/>
      </w:pPr>
    </w:p>
    <w:p>
      <w:pPr>
        <w:pStyle w:val="Heading2"/>
      </w:pPr>
      <w:r>
        <w:t>第 5 月：大模型、AIHub 与总体验收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750"/>
        <w:gridCol w:w="4260"/>
        <w:gridCol w:w="2500"/>
      </w:tblGrid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周次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工作主题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具体工作内容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周交付物</w:t>
            </w:r>
          </w:p>
        </w:tc>
        <w:trPr>
          <w:tblHeader/>
        </w:trPr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17 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数据探索与标注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建设 SQL Lab、数据探索和质量报告；对接多模态标注、审核、数据集回流和训练触发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数据探索、标注管理与训练数据闭环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18 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RAG 与工业智能体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完善文档解析、Embedding、召回重排、引用和权限；完善智能体工具、重试和人工审核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生产级 RAG、工业智能体执行闭环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19 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LLM 网关与 AIHub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实现模型路由、密钥、配额、限速和调用监控；统一模型、算子、Pipeline 和应用资产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LLM 网关、AIHub 和一键开发部署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20 周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全量验收与交付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执行全链路 E2E、性能、安全、备份恢复和升级验证；收敛缺陷；完成培训、文档和正式交付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全功能版、验收报告、运维与用户文档</w:t>
            </w:r>
          </w:p>
        </w:tc>
      </w:tr>
    </w:tbl>
    <w:p>
      <w:pPr>
        <w:spacing w:after="20"/>
      </w:pPr>
    </w:p>
    <w:p>
      <w:pPr>
        <w:pStyle w:val="Heading1"/>
      </w:pPr>
      <w:r>
        <w:t>8. 里程碑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200"/>
        <w:gridCol w:w="1900"/>
        <w:gridCol w:w="5460"/>
      </w:tblGrid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编号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时间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里程碑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验收结果</w:t>
            </w:r>
          </w:p>
        </w:tc>
        <w:trPr>
          <w:tblHeader/>
        </w:trPr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M0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1 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基线冻结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可构建、可测试、功能台账和接口基线完成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M1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3 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稳定演示版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工作流和算子主要缺陷收敛，样例可重复运行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M2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4 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工业可交付版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四套焊接模板与数据-训练-评估闭环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M3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8 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企业基础版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PostgreSQL、MinIO、Redis、实验、调度和基础推理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M4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12 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MLOps 核心版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生产推理、权限审计、性能优化和完整验收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M5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16 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云原生版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Kubernetes、Notebook、GPU、多集群和资源管理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M6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 20 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全功能版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标注闭环、LLM 网关、AIHub 和工业智能体</w:t>
            </w:r>
          </w:p>
        </w:tc>
      </w:tr>
    </w:tbl>
    <w:p>
      <w:pPr>
        <w:spacing w:after="20"/>
      </w:pPr>
    </w:p>
    <w:p>
      <w:pPr>
        <w:pStyle w:val="Heading1"/>
      </w:pPr>
      <w:r>
        <w:t>9. 验收标准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功能：用户可完成数据上传、工作流编排、训练、评估、模型注册、服务发布和结果追溯。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质量：核心业务逻辑单元测试覆盖率不低于 80%，核心链路具备自动化 E2E。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性能：工作流运行、文件上传、日志查询和推理接口均建立性能基线。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安全：完成越权、弱密码、文件路径、自定义代码、依赖和镜像安全检查。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运维：具备请求 ID、任务 ID、结构化日志、监控指标、告警、备份和升级文档。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交付：提供管理员手册、用户手册、部署手册、演示数据与验收报告。</w:t>
      </w:r>
    </w:p>
    <w:p>
      <w:pPr>
        <w:pStyle w:val="Heading1"/>
      </w:pPr>
      <w:r>
        <w:t>10. 关键风险与决策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46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风险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影响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i w:val="0"/>
                <w:color w:val="243447"/>
                <w:sz w:val="18"/>
              </w:rPr>
              <w:t>控制措施</w:t>
            </w:r>
          </w:p>
        </w:tc>
        <w:trPr>
          <w:tblHeader/>
        </w:trPr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范围持续扩大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无法在五个月内验收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阶段冻结范围，新增需求进入后续版本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SQLite 与本地路径耦合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无法扩展和迁移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第二个月前完成 PostgreSQL 与 MinIO 迁移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进程内 DAG 执行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重启丢任务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建立持久状态机、异步队列和双执行器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云原生复杂度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阻塞现有交付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保留 Local Executor，Kubernetes 能力独立演进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自定义代码安全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任意代码执行风险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容器隔离、权限、资源限制和审计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异构算力范围过大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适配成本失控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243447"/>
                <w:sz w:val="18"/>
              </w:rPr>
              <w:t>首期以 NVIDIA GPU 为基线，其他硬件单独评估</w:t>
            </w:r>
          </w:p>
        </w:tc>
      </w:tr>
    </w:tbl>
    <w:p>
      <w:pPr>
        <w:spacing w:after="20"/>
      </w:pPr>
    </w:p>
    <w:p>
      <w:pPr>
        <w:pStyle w:val="Heading1"/>
      </w:pPr>
      <w:r>
        <w:t>11. 待确认事项</w:t>
      </w:r>
    </w:p>
    <w:p>
      <w:pPr>
        <w:pStyle w:val="ListNumber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确认五个月范围以本文件列出的功能为上限，开发期不增加新的一级功能域。</w:t>
      </w:r>
    </w:p>
    <w:p>
      <w:pPr>
        <w:pStyle w:val="ListNumber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确认生产基础设施采用 PostgreSQL、Redis、MinIO 和 Kubernetes。</w:t>
      </w:r>
    </w:p>
    <w:p>
      <w:pPr>
        <w:pStyle w:val="ListNumber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确认首期 GPU 基线、部署环境、网络约束和外部存储方式。</w:t>
      </w:r>
    </w:p>
    <w:p>
      <w:pPr>
        <w:pStyle w:val="ListNumber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确认企业认证方式以及消息通知渠道。</w:t>
      </w:r>
    </w:p>
    <w:p>
      <w:pPr>
        <w:pStyle w:val="ListNumber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确认模型服务首期支持的模型格式和发布审批流程。</w:t>
      </w:r>
    </w:p>
    <w:p>
      <w:pPr>
        <w:pStyle w:val="ListNumber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确认四套焊接业务模板的样本数据、指标和验收责任人。</w:t>
      </w:r>
    </w:p>
    <w:p>
      <w:pPr>
        <w:pStyle w:val="Heading1"/>
      </w:pPr>
      <w:r>
        <w:t>12. 下一步行动</w:t>
      </w:r>
    </w:p>
    <w:p>
      <w:pPr>
        <w:pStyle w:val="ListNumber2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评审并冻结功能范围、五个月里程碑和验收标准。</w:t>
      </w:r>
    </w:p>
    <w:p>
      <w:pPr>
        <w:pStyle w:val="ListNumber2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完成现有平台功能台账和技术债清单。</w:t>
      </w:r>
    </w:p>
    <w:p>
      <w:pPr>
        <w:pStyle w:val="ListNumber2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输出目标架构、数据模型、执行器接口和部署拓扑。</w:t>
      </w:r>
    </w:p>
    <w:p>
      <w:pPr>
        <w:pStyle w:val="ListNumber2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建立第一个月的周计划、验收用例和演示基线。</w:t>
      </w:r>
    </w:p>
    <w:p>
      <w:pPr>
        <w:pStyle w:val="ListNumber2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从稳定工作流、存储迁移和自动化测试三条主线并行启动。</w:t>
      </w:r>
    </w:p>
    <w:p>
      <w:pPr>
        <w:pStyle w:val="Heading1"/>
      </w:pPr>
      <w:r>
        <w:t>13. 周度管理机制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周初计划：确认本周范围、接口变更、依赖项、验收用例和周交付物，不在周中临时增加范围。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周中集成：完成跨模块接口联调，持续合并主干，及时暴露数据、权限、任务状态和部署问题。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周末验收：执行自动化测试、演示验证和缺陷复盘，形成周报、版本包、测试结果和风险清单。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问题升级：影响周目标的阻塞问题在发现当日升级，涉及架构和范围的决策必须记录并明确结论。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版本管理：每周形成可部署版本，重要里程碑建立发布标签、数据库迁移脚本和回滚说明。</w:t>
      </w:r>
    </w:p>
    <w:p>
      <w:pPr>
        <w:pStyle w:val="Heading1"/>
      </w:pPr>
      <w:r>
        <w:t>14. 周交付完成标准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功能代码已合并，代码审查意见已处理，无阻塞级静态检查和依赖安全问题。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新增或修改功能具备单元测试、API 集成测试；主链路变化同步更新 E2E 用例。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数据库、配置、接口和部署发生变化时，迁移脚本、配置样例和升级说明已同步更新。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周交付物可在测试环境独立部署和演示，关键日志、指标和错误信息能够支撑问题定位。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Calibri" w:hAnsi="Calibri" w:eastAsia="Microsoft YaHei"/>
          <w:b w:val="0"/>
          <w:i w:val="0"/>
          <w:color w:val="243447"/>
          <w:sz w:val="22"/>
        </w:rPr>
        <w:t>遗留问题已登记优先级、影响范围和处理计划，不以口头约定替代缺陷记录。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>汽车焊接工业 AI 平台 | 项目开发计划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汽车焊接工业 AI 平台开发计划</dc:title>
  <dc:subject>Cube Studio 功能整合与五个月开发计划</dc:subject>
  <dc:creator>项目组</dc:creator>
  <cp:keywords>汽车焊接, 工业AI, MLOps, Cube Studio, 开发计划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