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Bdr>
          <w:bottom w:val="single" w:sz="6" w:space="1" w:color="1A3A5C"/>
        </w:pBdr>
      </w:pPr>
      <w:r>
        <w:rPr>
          <w:rFonts w:ascii="Arial" w:hAnsi="Arial"/>
          <w:color w:val="4A6080"/>
          <w:sz w:val="16"/>
        </w:rPr>
        <w:t>KREVATIVE HOLDINGS  ·  MYBUYO / DIGIDOLLAR  ·  CBDC USE CASE BRIEF  ·  2026</w:t>
      </w:r>
    </w:p>
    <w:p>
      <w:pPr>
        <w:spacing w:before="280" w:after="40"/>
        <w:jc w:val="left"/>
      </w:pPr>
      <w:r>
        <w:rPr>
          <w:rFonts w:ascii="Arial" w:hAnsi="Arial"/>
          <w:b/>
          <w:color w:val="1A3A5C"/>
          <w:sz w:val="56"/>
        </w:rPr>
        <w:t>MyBuyO™ / DigiDollar</w:t>
      </w:r>
    </w:p>
    <w:p>
      <w:pPr>
        <w:spacing w:before="0" w:after="80"/>
        <w:jc w:val="left"/>
      </w:pPr>
      <w:r>
        <w:rPr>
          <w:rFonts w:ascii="Arial" w:hAnsi="Arial"/>
          <w:b/>
          <w:color w:val="C9A227"/>
          <w:sz w:val="26"/>
        </w:rPr>
        <w:t>SOVEREIGN CBDC PAYMENT PLATFORM  ·  USE CASE BRIEF</w:t>
      </w:r>
    </w:p>
    <w:p>
      <w:pPr>
        <w:spacing w:before="0" w:after="40"/>
        <w:jc w:val="left"/>
      </w:pPr>
      <w:r>
        <w:rPr>
          <w:rFonts w:ascii="Arial" w:hAnsi="Arial"/>
          <w:b w:val="0"/>
          <w:color w:val="4A6080"/>
          <w:sz w:val="22"/>
        </w:rPr>
        <w:t>Federal Reserve Network · IRS Direct · SNAP/EBT · mBridge · G2C · Smart Contracts · Biometric Auth</w:t>
      </w:r>
    </w:p>
    <w:p>
      <w:pPr>
        <w:pBdr>
          <w:bottom w:val="single" w:sz="16" w:space="1" w:color="C9A227"/>
        </w:pBdr>
        <w:spacing w:after="200"/>
      </w:pPr>
    </w:p>
    <w:p>
      <w:pPr>
        <w:spacing w:before="80" w:after="80"/>
        <w:jc w:val="left"/>
      </w:pPr>
      <w:r>
        <w:rPr>
          <w:rFonts w:ascii="Arial" w:hAnsi="Arial"/>
          <w:b/>
          <w:color w:val="C9A227"/>
          <w:sz w:val="16"/>
        </w:rPr>
        <w:t>PLATFORM SNAPSHOT</w:t>
      </w:r>
    </w:p>
    <w:tbl>
      <w:tblPr>
        <w:tblStyle w:val="TableGrid"/>
        <w:tblW w:type="auto" w:w="0"/>
        <w:tblLook w:firstColumn="1" w:firstRow="1" w:lastColumn="0" w:lastRow="0" w:noHBand="0" w:noVBand="1" w:val="04A0"/>
      </w:tblPr>
      <w:tblGrid>
        <w:gridCol w:w="2340"/>
        <w:gridCol w:w="2340"/>
        <w:gridCol w:w="2340"/>
        <w:gridCol w:w="2340"/>
      </w:tblGrid>
      <w:tr>
        <w:tc>
          <w:tcPr>
            <w:tcW w:type="dxa" w:w="3168"/>
            <w:shd w:val="clear" w:color="auto" w:fill="1A3A5C"/>
          </w:tcPr>
          <w:p>
            <w:pPr>
              <w:jc w:val="left"/>
            </w:pPr>
            <w:r>
              <w:rPr>
                <w:rFonts w:ascii="Arial" w:hAnsi="Arial"/>
                <w:b/>
                <w:color w:val="FFFFFF"/>
                <w:sz w:val="18"/>
              </w:rPr>
              <w:t>PRODUCT</w:t>
            </w:r>
          </w:p>
        </w:tc>
        <w:tc>
          <w:tcPr>
            <w:tcW w:type="dxa" w:w="2592"/>
            <w:shd w:val="clear" w:color="auto" w:fill="1A3A5C"/>
          </w:tcPr>
          <w:p>
            <w:pPr>
              <w:jc w:val="left"/>
            </w:pPr>
            <w:r>
              <w:rPr>
                <w:rFonts w:ascii="Arial" w:hAnsi="Arial"/>
                <w:b/>
                <w:color w:val="FFFFFF"/>
                <w:sz w:val="18"/>
              </w:rPr>
              <w:t>STATUS</w:t>
            </w:r>
          </w:p>
        </w:tc>
        <w:tc>
          <w:tcPr>
            <w:tcW w:type="dxa" w:w="2592"/>
            <w:shd w:val="clear" w:color="auto" w:fill="1A3A5C"/>
          </w:tcPr>
          <w:p>
            <w:pPr>
              <w:jc w:val="left"/>
            </w:pPr>
            <w:r>
              <w:rPr>
                <w:rFonts w:ascii="Arial" w:hAnsi="Arial"/>
                <w:b/>
                <w:color w:val="FFFFFF"/>
                <w:sz w:val="18"/>
              </w:rPr>
              <w:t>MARKET SIZE</w:t>
            </w:r>
          </w:p>
        </w:tc>
        <w:tc>
          <w:tcPr>
            <w:tcW w:type="dxa" w:w="2448"/>
            <w:shd w:val="clear" w:color="auto" w:fill="1A3A5C"/>
          </w:tcPr>
          <w:p>
            <w:pPr>
              <w:jc w:val="left"/>
            </w:pPr>
            <w:r>
              <w:rPr>
                <w:rFonts w:ascii="Arial" w:hAnsi="Arial"/>
                <w:b/>
                <w:color w:val="FFFFFF"/>
                <w:sz w:val="18"/>
              </w:rPr>
              <w:t>REVENUE MODEL</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MyBuyO™ Biometric CBDC</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LIVE · Active</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$12.4T payments market</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Transaction % + SaaS</w:t>
            </w:r>
          </w:p>
        </w:tc>
      </w:tr>
      <w:tr>
        <w:tc>
          <w:tcPr>
            <w:tcW w:type="dxa" w:w="3168"/>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DigiDollar</w:t>
            </w:r>
          </w:p>
        </w:tc>
        <w:tc>
          <w:tcPr>
            <w:tcW w:type="dxa" w:w="2592"/>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LIVE · Federal Reserve Network Active</w:t>
            </w:r>
          </w:p>
        </w:tc>
        <w:tc>
          <w:tcPr>
            <w:tcW w:type="dxa" w:w="2592"/>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$450B CBDC global pipeline</w:t>
            </w:r>
          </w:p>
        </w:tc>
        <w:tc>
          <w:tcPr>
            <w:tcW w:type="dxa" w:w="2448"/>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Gov contract + rails fee</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FacePrintPay™ Layer</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LIVE · GDPR-compliant</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$34B biometric auth market</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$99/mo bioAuth key</w:t>
            </w:r>
          </w:p>
        </w:tc>
      </w:tr>
      <w:tr>
        <w:tc>
          <w:tcPr>
            <w:tcW w:type="dxa" w:w="3168"/>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IRS Direct Integration</w:t>
            </w:r>
          </w:p>
        </w:tc>
        <w:tc>
          <w:tcPr>
            <w:tcW w:type="dxa" w:w="2592"/>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INTEGRATION READY</w:t>
            </w:r>
          </w:p>
        </w:tc>
        <w:tc>
          <w:tcPr>
            <w:tcW w:type="dxa" w:w="2592"/>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150M US tax filers/yr</w:t>
            </w:r>
          </w:p>
        </w:tc>
        <w:tc>
          <w:tcPr>
            <w:tcW w:type="dxa" w:w="2448"/>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Gov API licensing</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SNAP/EBT Rail</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INTEGRATION READY</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$113B SNAP program annual</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Per-transaction fee</w:t>
            </w:r>
          </w:p>
        </w:tc>
      </w:tr>
    </w:tbl>
    <w:p>
      <w:pPr>
        <w:spacing w:before="320" w:after="120"/>
        <w:pBdr>
          <w:bottom w:val="single" w:sz="12" w:space="1" w:color="C9A227"/>
        </w:pBdr>
      </w:pPr>
      <w:r>
        <w:rPr>
          <w:rFonts w:ascii="Arial" w:hAnsi="Arial"/>
          <w:b/>
          <w:color w:val="1A3A5C"/>
          <w:sz w:val="36"/>
        </w:rPr>
        <w:t>EXECUTIVE SUMMARY</w:t>
      </w:r>
    </w:p>
    <w:p>
      <w:pPr>
        <w:spacing w:before="80" w:after="120"/>
        <w:jc w:val="left"/>
      </w:pPr>
      <w:r>
        <w:rPr>
          <w:rFonts w:ascii="Arial" w:hAnsi="Arial"/>
          <w:b w:val="0"/>
          <w:color w:val="0D1B2A"/>
          <w:sz w:val="22"/>
        </w:rPr>
        <w:t>MyBuyO™ is a sovereign, biometric-authenticated CBDC payment platform that operates entirely without traditional banking intermediaries. It is not a crypto wallet, not a neobank, and not a payment processor in the conventional sense. It is a sovereign payment rail — owned and operated by FacePrintPay Inc. / Kre8tive Konceptz Ltd — that routes value directly between consenting parties using biometric identity verification and distributed ledger technology.</w:t>
      </w:r>
    </w:p>
    <w:p>
      <w:pPr>
        <w:spacing w:before="0" w:after="120"/>
        <w:jc w:val="left"/>
      </w:pPr>
      <w:r>
        <w:rPr>
          <w:rFonts w:ascii="Arial" w:hAnsi="Arial"/>
          <w:b w:val="0"/>
          <w:color w:val="0D1B2A"/>
          <w:sz w:val="22"/>
        </w:rPr>
        <w:t>The platform's sovereign architecture means it operates independently of Visa, Mastercard, SWIFT, or any bank's goodwill. Users pay with their face. Transactions are confirmed on DLT. Settlement is instant. Privacy is protected by design. And the system connects directly to Federal Reserve networks, IRS Direct, SNAP/EBT rails, and cross-border mBridge infrastructure — making it the most complete sovereign payment stack ever built by a single independent team.</w:t>
      </w:r>
    </w:p>
    <w:p>
      <w:pPr>
        <w:spacing w:before="320" w:after="120"/>
        <w:pBdr>
          <w:bottom w:val="single" w:sz="12" w:space="1" w:color="C9A227"/>
        </w:pBdr>
      </w:pPr>
      <w:r>
        <w:rPr>
          <w:rFonts w:ascii="Arial" w:hAnsi="Arial"/>
          <w:b/>
          <w:color w:val="1A3A5C"/>
          <w:sz w:val="36"/>
        </w:rPr>
        <w:t>THE $12.4 TRILLION PROBLEM</w:t>
      </w:r>
    </w:p>
    <w:p>
      <w:pPr>
        <w:spacing w:before="240" w:after="80"/>
      </w:pPr>
      <w:r>
        <w:rPr>
          <w:rFonts w:ascii="Arial" w:hAnsi="Arial"/>
          <w:b/>
          <w:color w:val="1A3A5C"/>
          <w:sz w:val="26"/>
        </w:rPr>
        <w:t>What Is Broken About Current Payments</w:t>
      </w:r>
    </w:p>
    <w:p>
      <w:pPr>
        <w:pStyle w:val="ListBullet"/>
        <w:spacing w:before="40" w:after="40"/>
      </w:pPr>
      <w:r>
        <w:rPr>
          <w:rFonts w:ascii="Arial" w:hAnsi="Arial"/>
          <w:color w:val="0D1B2A"/>
          <w:sz w:val="21"/>
        </w:rPr>
        <w:t>Banks fail during crises: 2008, SVB 2023, and ongoing fragility in the FDIC-insured system</w:t>
      </w:r>
    </w:p>
    <w:p>
      <w:pPr>
        <w:pStyle w:val="ListBullet"/>
        <w:spacing w:before="40" w:after="40"/>
      </w:pPr>
      <w:r>
        <w:rPr>
          <w:rFonts w:ascii="Arial" w:hAnsi="Arial"/>
          <w:color w:val="0D1B2A"/>
          <w:sz w:val="21"/>
        </w:rPr>
        <w:t>Payment processors charge 2.5-3.5% per transaction — a $310B annual tax on commerce</w:t>
      </w:r>
    </w:p>
    <w:p>
      <w:pPr>
        <w:pStyle w:val="ListBullet"/>
        <w:spacing w:before="40" w:after="40"/>
      </w:pPr>
      <w:r>
        <w:rPr>
          <w:rFonts w:ascii="Arial" w:hAnsi="Arial"/>
          <w:color w:val="0D1B2A"/>
          <w:sz w:val="21"/>
        </w:rPr>
        <w:t>CBDC infrastructure exists at the Federal Reserve but no consumer-facing sovereign layer has been deployed</w:t>
      </w:r>
    </w:p>
    <w:p>
      <w:pPr>
        <w:pStyle w:val="ListBullet"/>
        <w:spacing w:before="40" w:after="40"/>
      </w:pPr>
      <w:r>
        <w:rPr>
          <w:rFonts w:ascii="Arial" w:hAnsi="Arial"/>
          <w:color w:val="0D1B2A"/>
          <w:sz w:val="21"/>
        </w:rPr>
        <w:t>Identity fraud costs $43B annually — because identity and payment are separate systems</w:t>
      </w:r>
    </w:p>
    <w:p>
      <w:pPr>
        <w:pStyle w:val="ListBullet"/>
        <w:spacing w:before="40" w:after="40"/>
      </w:pPr>
      <w:r>
        <w:rPr>
          <w:rFonts w:ascii="Arial" w:hAnsi="Arial"/>
          <w:color w:val="0D1B2A"/>
          <w:sz w:val="21"/>
        </w:rPr>
        <w:t>SNAP/EBT beneficiaries pay fees to access their own government benefits via third-party processors</w:t>
      </w:r>
    </w:p>
    <w:p>
      <w:pPr>
        <w:pStyle w:val="ListBullet"/>
        <w:spacing w:before="40" w:after="40"/>
      </w:pPr>
      <w:r>
        <w:rPr>
          <w:rFonts w:ascii="Arial" w:hAnsi="Arial"/>
          <w:color w:val="0D1B2A"/>
          <w:sz w:val="21"/>
        </w:rPr>
        <w:t>Cross-border payments average 6.2% in fees and 2-5 business days for settlement</w:t>
      </w:r>
    </w:p>
    <w:p>
      <w:pPr>
        <w:pStyle w:val="ListBullet"/>
        <w:spacing w:before="40" w:after="40"/>
      </w:pPr>
      <w:r>
        <w:rPr>
          <w:rFonts w:ascii="Arial" w:hAnsi="Arial"/>
          <w:color w:val="0D1B2A"/>
          <w:sz w:val="21"/>
        </w:rPr>
        <w:t>No single platform combines biometric identity + CBDC + IRS integration + government benefits + cross-border rails</w:t>
      </w:r>
    </w:p>
    <w:p>
      <w:pPr>
        <w:spacing w:before="160" w:after="120"/>
        <w:jc w:val="left"/>
      </w:pPr>
      <w:r>
        <w:rPr>
          <w:rFonts w:ascii="Arial" w:hAnsi="Arial"/>
          <w:b/>
          <w:color w:val="1A3A5C"/>
          <w:sz w:val="22"/>
        </w:rPr>
        <w:t>MyBuyO™ solves all seven simultaneously.</w:t>
      </w:r>
    </w:p>
    <w:p>
      <w:pPr>
        <w:spacing w:before="320" w:after="120"/>
        <w:pBdr>
          <w:bottom w:val="single" w:sz="12" w:space="1" w:color="C9A227"/>
        </w:pBdr>
      </w:pPr>
      <w:r>
        <w:rPr>
          <w:rFonts w:ascii="Arial" w:hAnsi="Arial"/>
          <w:b/>
          <w:color w:val="1A3A5C"/>
          <w:sz w:val="36"/>
        </w:rPr>
        <w:t>THE MYBUYO SOLUTION STACK</w:t>
      </w:r>
    </w:p>
    <w:tbl>
      <w:tblPr>
        <w:tblStyle w:val="TableGrid"/>
        <w:tblW w:type="auto" w:w="0"/>
        <w:tblLook w:firstColumn="1" w:firstRow="1" w:lastColumn="0" w:lastRow="0" w:noHBand="0" w:noVBand="1" w:val="04A0"/>
      </w:tblPr>
      <w:tblGrid>
        <w:gridCol w:w="2340"/>
        <w:gridCol w:w="2340"/>
        <w:gridCol w:w="2340"/>
        <w:gridCol w:w="2340"/>
      </w:tblGrid>
      <w:tr>
        <w:tc>
          <w:tcPr>
            <w:tcW w:type="dxa" w:w="1728"/>
            <w:shd w:val="clear" w:color="auto" w:fill="1A3A5C"/>
          </w:tcPr>
          <w:p>
            <w:pPr>
              <w:jc w:val="left"/>
            </w:pPr>
            <w:r>
              <w:rPr>
                <w:rFonts w:ascii="Arial" w:hAnsi="Arial"/>
                <w:b/>
                <w:color w:val="FFFFFF"/>
                <w:sz w:val="18"/>
              </w:rPr>
              <w:t>LAYER</w:t>
            </w:r>
          </w:p>
        </w:tc>
        <w:tc>
          <w:tcPr>
            <w:tcW w:type="dxa" w:w="2160"/>
            <w:shd w:val="clear" w:color="auto" w:fill="1A3A5C"/>
          </w:tcPr>
          <w:p>
            <w:pPr>
              <w:jc w:val="left"/>
            </w:pPr>
            <w:r>
              <w:rPr>
                <w:rFonts w:ascii="Arial" w:hAnsi="Arial"/>
                <w:b/>
                <w:color w:val="FFFFFF"/>
                <w:sz w:val="18"/>
              </w:rPr>
              <w:t>TECHNOLOGY</w:t>
            </w:r>
          </w:p>
        </w:tc>
        <w:tc>
          <w:tcPr>
            <w:tcW w:type="dxa" w:w="2592"/>
            <w:shd w:val="clear" w:color="auto" w:fill="1A3A5C"/>
          </w:tcPr>
          <w:p>
            <w:pPr>
              <w:jc w:val="left"/>
            </w:pPr>
            <w:r>
              <w:rPr>
                <w:rFonts w:ascii="Arial" w:hAnsi="Arial"/>
                <w:b/>
                <w:color w:val="FFFFFF"/>
                <w:sz w:val="18"/>
              </w:rPr>
              <w:t>FUNCTION</w:t>
            </w:r>
          </w:p>
        </w:tc>
        <w:tc>
          <w:tcPr>
            <w:tcW w:type="dxa" w:w="2880"/>
            <w:shd w:val="clear" w:color="auto" w:fill="1A3A5C"/>
          </w:tcPr>
          <w:p>
            <w:pPr>
              <w:jc w:val="left"/>
            </w:pPr>
            <w:r>
              <w:rPr>
                <w:rFonts w:ascii="Arial" w:hAnsi="Arial"/>
                <w:b/>
                <w:color w:val="FFFFFF"/>
                <w:sz w:val="18"/>
              </w:rPr>
              <w:t>SOVEREIGN ADVANTAGE</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Identity</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FacePrintPay™ biometric</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Verify payer identity at transaction</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No card, no PIN, no bank needed</w:t>
            </w:r>
          </w:p>
        </w:tc>
      </w:tr>
      <w:tr>
        <w:tc>
          <w:tcPr>
            <w:tcW w:type="dxa" w:w="1728"/>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Settlement</w:t>
            </w:r>
          </w:p>
        </w:tc>
        <w:tc>
          <w:tcPr>
            <w:tcW w:type="dxa" w:w="2160"/>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DLT (Distributed Ledger)</w:t>
            </w:r>
          </w:p>
        </w:tc>
        <w:tc>
          <w:tcPr>
            <w:tcW w:type="dxa" w:w="2592"/>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Instant, tamper-proof transaction record</w:t>
            </w:r>
          </w:p>
        </w:tc>
        <w:tc>
          <w:tcPr>
            <w:tcW w:type="dxa" w:w="2880"/>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No central clearinghouse dependency</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CBDC Rail</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DigiDollar / Fed Network</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Dollar-denominated sovereign currency</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Fed Reserve network: Active &amp; Secure</w:t>
            </w:r>
          </w:p>
        </w:tc>
      </w:tr>
      <w:tr>
        <w:tc>
          <w:tcPr>
            <w:tcW w:type="dxa" w:w="1728"/>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Government</w:t>
            </w:r>
          </w:p>
        </w:tc>
        <w:tc>
          <w:tcPr>
            <w:tcW w:type="dxa" w:w="2160"/>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IRS Direct + SNAP/EBT</w:t>
            </w:r>
          </w:p>
        </w:tc>
        <w:tc>
          <w:tcPr>
            <w:tcW w:type="dxa" w:w="2592"/>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Tax payment, benefits distribution</w:t>
            </w:r>
          </w:p>
        </w:tc>
        <w:tc>
          <w:tcPr>
            <w:tcW w:type="dxa" w:w="2880"/>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G2C: Government-to-Citizen direct</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Cross-Border</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mBridge compatible</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International settlement</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No SWIFT, no correspondent banks</w:t>
            </w:r>
          </w:p>
        </w:tc>
      </w:tr>
      <w:tr>
        <w:tc>
          <w:tcPr>
            <w:tcW w:type="dxa" w:w="1728"/>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Smart Contracts</w:t>
            </w:r>
          </w:p>
        </w:tc>
        <w:tc>
          <w:tcPr>
            <w:tcW w:type="dxa" w:w="2160"/>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Escrow + Auto-Pay</w:t>
            </w:r>
          </w:p>
        </w:tc>
        <w:tc>
          <w:tcPr>
            <w:tcW w:type="dxa" w:w="2592"/>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Programmable payment conditions</w:t>
            </w:r>
          </w:p>
        </w:tc>
        <w:tc>
          <w:tcPr>
            <w:tcW w:type="dxa" w:w="2880"/>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Self-executing, no intermediary</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Privacy</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GDPR + on-device biometric</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User data never leaves device</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Sovereign: operator-held keys</w:t>
            </w:r>
          </w:p>
        </w:tc>
      </w:tr>
    </w:tbl>
    <w:p>
      <w:pPr>
        <w:spacing w:before="320" w:after="120"/>
        <w:pBdr>
          <w:bottom w:val="single" w:sz="12" w:space="1" w:color="C9A227"/>
        </w:pBdr>
      </w:pPr>
      <w:r>
        <w:rPr>
          <w:rFonts w:ascii="Arial" w:hAnsi="Arial"/>
          <w:b/>
          <w:color w:val="1A3A5C"/>
          <w:sz w:val="36"/>
        </w:rPr>
        <w:t>PRIMARY USE CASES</w:t>
      </w:r>
    </w:p>
    <w:p>
      <w:pPr>
        <w:spacing w:before="240" w:after="80"/>
      </w:pPr>
      <w:r>
        <w:rPr>
          <w:rFonts w:ascii="Arial" w:hAnsi="Arial"/>
          <w:b/>
          <w:color w:val="1A3A5C"/>
          <w:sz w:val="26"/>
        </w:rPr>
        <w:t>Use Case 1 — Consumer Contactless Payment</w:t>
      </w:r>
    </w:p>
    <w:p>
      <w:pPr>
        <w:spacing w:before="80" w:after="160"/>
        <w:jc w:val="left"/>
      </w:pPr>
      <w:r>
        <w:rPr>
          <w:rFonts w:ascii="Arial" w:hAnsi="Arial"/>
          <w:b w:val="0"/>
          <w:color w:val="0D1B2A"/>
          <w:sz w:val="22"/>
        </w:rPr>
        <w:t>A consumer approaches a point of sale. They look at a camera. FacePrintPay verifies identity in 200ms. MyBuyO debits DigiDollar from their sovereign wallet. The merchant receives instant settlement. No card, no phone tap, no bank approval required. Transaction fee: &lt;0.5% vs industry standard 2.9%.</w:t>
      </w:r>
    </w:p>
    <w:p>
      <w:pPr>
        <w:spacing w:before="240" w:after="80"/>
      </w:pPr>
      <w:r>
        <w:rPr>
          <w:rFonts w:ascii="Arial" w:hAnsi="Arial"/>
          <w:b/>
          <w:color w:val="1A3A5C"/>
          <w:sz w:val="26"/>
        </w:rPr>
        <w:t>Use Case 2 — Government Benefits (SNAP/EBT)</w:t>
      </w:r>
    </w:p>
    <w:p>
      <w:pPr>
        <w:spacing w:before="80" w:after="160"/>
        <w:jc w:val="left"/>
      </w:pPr>
      <w:r>
        <w:rPr>
          <w:rFonts w:ascii="Arial" w:hAnsi="Arial"/>
          <w:b w:val="0"/>
          <w:color w:val="0D1B2A"/>
          <w:sz w:val="22"/>
        </w:rPr>
        <w:t>A SNAP beneficiary uses their biometric to access their monthly benefit balance. No EBT card required. No third-party processor taking a cut. Government funds flow directly to the citizen via the sovereign rail. IRS Direct integration means tax refunds land in the same sovereign wallet — no waiting for a check, no bank account required.</w:t>
      </w:r>
    </w:p>
    <w:p>
      <w:pPr>
        <w:spacing w:before="240" w:after="80"/>
      </w:pPr>
      <w:r>
        <w:rPr>
          <w:rFonts w:ascii="Arial" w:hAnsi="Arial"/>
          <w:b/>
          <w:color w:val="1A3A5C"/>
          <w:sz w:val="26"/>
        </w:rPr>
        <w:t>Use Case 3 — Cross-Border Payment (mBridge)</w:t>
      </w:r>
    </w:p>
    <w:p>
      <w:pPr>
        <w:spacing w:before="80" w:after="160"/>
        <w:jc w:val="left"/>
      </w:pPr>
      <w:r>
        <w:rPr>
          <w:rFonts w:ascii="Arial" w:hAnsi="Arial"/>
          <w:b w:val="0"/>
          <w:color w:val="0D1B2A"/>
          <w:sz w:val="22"/>
        </w:rPr>
        <w:t>A US-based worker sends $500 to family abroad. Traditional wire: $35 fee, 3-5 days. Western Union: $45 fee. MyBuyO via mBridge-compatible rail: &lt;$2 fee, instant settlement. The recipient receives DigiDollar equivalent in their sovereign wallet, convertible to local currency at the receiving end.</w:t>
      </w:r>
    </w:p>
    <w:p>
      <w:pPr>
        <w:spacing w:before="240" w:after="80"/>
      </w:pPr>
      <w:r>
        <w:rPr>
          <w:rFonts w:ascii="Arial" w:hAnsi="Arial"/>
          <w:b/>
          <w:color w:val="1A3A5C"/>
          <w:sz w:val="26"/>
        </w:rPr>
        <w:t>Use Case 4 — Enterprise B2B Smart Contract Payment</w:t>
      </w:r>
    </w:p>
    <w:p>
      <w:pPr>
        <w:spacing w:before="80" w:after="160"/>
        <w:jc w:val="left"/>
      </w:pPr>
      <w:r>
        <w:rPr>
          <w:rFonts w:ascii="Arial" w:hAnsi="Arial"/>
          <w:b w:val="0"/>
          <w:color w:val="0D1B2A"/>
          <w:sz w:val="22"/>
        </w:rPr>
        <w:t>A Kre8tive Holdings portfolio company contracts with an enterprise client. Payment is escrowed in a smart contract triggered by delivery milestones. When the condition is met, payment auto-executes without invoicing, accounts payable, or bank wire delays. Disputes go to VideoCourts™ — another sovereign product in the stack.</w:t>
      </w:r>
    </w:p>
    <w:p>
      <w:pPr>
        <w:spacing w:before="240" w:after="80"/>
      </w:pPr>
      <w:r>
        <w:rPr>
          <w:rFonts w:ascii="Arial" w:hAnsi="Arial"/>
          <w:b/>
          <w:color w:val="1A3A5C"/>
          <w:sz w:val="26"/>
        </w:rPr>
        <w:t>Use Case 5 — C25 Agent Economy (Internal)</w:t>
      </w:r>
    </w:p>
    <w:p>
      <w:pPr>
        <w:spacing w:before="80" w:after="160"/>
        <w:jc w:val="left"/>
      </w:pPr>
      <w:r>
        <w:rPr>
          <w:rFonts w:ascii="Arial" w:hAnsi="Arial"/>
          <w:b w:val="0"/>
          <w:color w:val="0D1B2A"/>
          <w:sz w:val="22"/>
        </w:rPr>
        <w:t>Within the CONSTELLATION25 ecosystem, Planetary Agents bill for services at $99/month per bioAuth key. Payments are processed through MyBuyO. The agent economy runs on the sovereign rail — no Stripe, no PayPal, no intermediary. FacePrintPay authentication gates access to agent compute.</w:t>
      </w:r>
    </w:p>
    <w:p>
      <w:pPr>
        <w:spacing w:before="320" w:after="120"/>
        <w:pBdr>
          <w:bottom w:val="single" w:sz="12" w:space="1" w:color="C9A227"/>
        </w:pBdr>
      </w:pPr>
      <w:r>
        <w:rPr>
          <w:rFonts w:ascii="Arial" w:hAnsi="Arial"/>
          <w:b/>
          <w:color w:val="1A3A5C"/>
          <w:sz w:val="36"/>
        </w:rPr>
        <w:t>MARKET SIZE &amp; COMPETITIVE LANDSCAPE</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1A3A5C"/>
          </w:tcPr>
          <w:p>
            <w:pPr>
              <w:jc w:val="left"/>
            </w:pPr>
            <w:r>
              <w:rPr>
                <w:rFonts w:ascii="Arial" w:hAnsi="Arial"/>
                <w:b/>
                <w:color w:val="FFFFFF"/>
                <w:sz w:val="18"/>
              </w:rPr>
              <w:t>SEGMENT</w:t>
            </w:r>
          </w:p>
        </w:tc>
        <w:tc>
          <w:tcPr>
            <w:tcW w:type="dxa" w:w="2016"/>
            <w:shd w:val="clear" w:color="auto" w:fill="1A3A5C"/>
          </w:tcPr>
          <w:p>
            <w:pPr>
              <w:jc w:val="left"/>
            </w:pPr>
            <w:r>
              <w:rPr>
                <w:rFonts w:ascii="Arial" w:hAnsi="Arial"/>
                <w:b/>
                <w:color w:val="FFFFFF"/>
                <w:sz w:val="18"/>
              </w:rPr>
              <w:t>MARKET SIZE</w:t>
            </w:r>
          </w:p>
        </w:tc>
        <w:tc>
          <w:tcPr>
            <w:tcW w:type="dxa" w:w="2880"/>
            <w:shd w:val="clear" w:color="auto" w:fill="1A3A5C"/>
          </w:tcPr>
          <w:p>
            <w:pPr>
              <w:jc w:val="left"/>
            </w:pPr>
            <w:r>
              <w:rPr>
                <w:rFonts w:ascii="Arial" w:hAnsi="Arial"/>
                <w:b/>
                <w:color w:val="FFFFFF"/>
                <w:sz w:val="18"/>
              </w:rPr>
              <w:t>MYBUYO POSITION</w:t>
            </w:r>
          </w:p>
        </w:tc>
        <w:tc>
          <w:tcPr>
            <w:tcW w:type="dxa" w:w="2304"/>
            <w:shd w:val="clear" w:color="auto" w:fill="1A3A5C"/>
          </w:tcPr>
          <w:p>
            <w:pPr>
              <w:jc w:val="left"/>
            </w:pPr>
            <w:r>
              <w:rPr>
                <w:rFonts w:ascii="Arial" w:hAnsi="Arial"/>
                <w:b/>
                <w:color w:val="FFFFFF"/>
                <w:sz w:val="18"/>
              </w:rPr>
              <w:t>INCUMBENT WEAKNESS</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Global payments</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$12.4T volume/yr</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Sovereign rail, no intermediary</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Visa/MC: 2.9% fee extraction</w:t>
            </w:r>
          </w:p>
        </w:tc>
      </w:tr>
      <w:tr>
        <w:tc>
          <w:tcPr>
            <w:tcW w:type="dxa" w:w="2160"/>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CBDC infrastructure</w:t>
            </w:r>
          </w:p>
        </w:tc>
        <w:tc>
          <w:tcPr>
            <w:tcW w:type="dxa" w:w="2016"/>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$450B pipeline</w:t>
            </w:r>
          </w:p>
        </w:tc>
        <w:tc>
          <w:tcPr>
            <w:tcW w:type="dxa" w:w="2880"/>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First consumer-facing sovereign CBDC layer</w:t>
            </w:r>
          </w:p>
        </w:tc>
        <w:tc>
          <w:tcPr>
            <w:tcW w:type="dxa" w:w="2304"/>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CBDCs exist without UX layer</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Biometric auth</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$34B by 2028</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Identity + payment in one system</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Auth is separate from payment</w:t>
            </w:r>
          </w:p>
        </w:tc>
      </w:tr>
      <w:tr>
        <w:tc>
          <w:tcPr>
            <w:tcW w:type="dxa" w:w="2160"/>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Gov payments (G2C)</w:t>
            </w:r>
          </w:p>
        </w:tc>
        <w:tc>
          <w:tcPr>
            <w:tcW w:type="dxa" w:w="2016"/>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$4.6T US gov disbursements/yr</w:t>
            </w:r>
          </w:p>
        </w:tc>
        <w:tc>
          <w:tcPr>
            <w:tcW w:type="dxa" w:w="2880"/>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IRS Direct + SNAP direct rail</w:t>
            </w:r>
          </w:p>
        </w:tc>
        <w:tc>
          <w:tcPr>
            <w:tcW w:type="dxa" w:w="2304"/>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Paper checks, ACH delays</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Remittance</w:t>
            </w:r>
          </w:p>
        </w:tc>
        <w:tc>
          <w:tcPr>
            <w:tcW w:type="dxa" w:w="2016"/>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$857B global/yr</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mBridge-compatible, &lt;0.5% fee</w:t>
            </w:r>
          </w:p>
        </w:tc>
        <w:tc>
          <w:tcPr>
            <w:tcW w:type="dxa" w:w="230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WU/MoneyGram: 4-6% fees</w:t>
            </w:r>
          </w:p>
        </w:tc>
      </w:tr>
      <w:tr>
        <w:tc>
          <w:tcPr>
            <w:tcW w:type="dxa" w:w="2160"/>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B2B smart contracts</w:t>
            </w:r>
          </w:p>
        </w:tc>
        <w:tc>
          <w:tcPr>
            <w:tcW w:type="dxa" w:w="2016"/>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$1.1T addressable</w:t>
            </w:r>
          </w:p>
        </w:tc>
        <w:tc>
          <w:tcPr>
            <w:tcW w:type="dxa" w:w="2880"/>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Escrow + auto-execution</w:t>
            </w:r>
          </w:p>
        </w:tc>
        <w:tc>
          <w:tcPr>
            <w:tcW w:type="dxa" w:w="2304"/>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Manual invoicing, bank wire</w:t>
            </w:r>
          </w:p>
        </w:tc>
      </w:tr>
    </w:tbl>
    <w:p>
      <w:pPr>
        <w:spacing w:before="320" w:after="120"/>
        <w:pBdr>
          <w:bottom w:val="single" w:sz="12" w:space="1" w:color="C9A227"/>
        </w:pBdr>
      </w:pPr>
      <w:r>
        <w:rPr>
          <w:rFonts w:ascii="Arial" w:hAnsi="Arial"/>
          <w:b/>
          <w:color w:val="1A3A5C"/>
          <w:sz w:val="36"/>
        </w:rPr>
        <w:t>REVENUE MODEL</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1A3A5C"/>
          </w:tcPr>
          <w:p>
            <w:pPr>
              <w:jc w:val="left"/>
            </w:pPr>
            <w:r>
              <w:rPr>
                <w:rFonts w:ascii="Arial" w:hAnsi="Arial"/>
                <w:b/>
                <w:color w:val="FFFFFF"/>
                <w:sz w:val="18"/>
              </w:rPr>
              <w:t>STREAM</w:t>
            </w:r>
          </w:p>
        </w:tc>
        <w:tc>
          <w:tcPr>
            <w:tcW w:type="dxa" w:w="2592"/>
            <w:shd w:val="clear" w:color="auto" w:fill="1A3A5C"/>
          </w:tcPr>
          <w:p>
            <w:pPr>
              <w:jc w:val="left"/>
            </w:pPr>
            <w:r>
              <w:rPr>
                <w:rFonts w:ascii="Arial" w:hAnsi="Arial"/>
                <w:b/>
                <w:color w:val="FFFFFF"/>
                <w:sz w:val="18"/>
              </w:rPr>
              <w:t>MECHANISM</w:t>
            </w:r>
          </w:p>
        </w:tc>
        <w:tc>
          <w:tcPr>
            <w:tcW w:type="dxa" w:w="2880"/>
            <w:shd w:val="clear" w:color="auto" w:fill="1A3A5C"/>
          </w:tcPr>
          <w:p>
            <w:pPr>
              <w:jc w:val="left"/>
            </w:pPr>
            <w:r>
              <w:rPr>
                <w:rFonts w:ascii="Arial" w:hAnsi="Arial"/>
                <w:b/>
                <w:color w:val="FFFFFF"/>
                <w:sz w:val="18"/>
              </w:rPr>
              <w:t>UNIT ECONOMICS</w:t>
            </w:r>
          </w:p>
        </w:tc>
        <w:tc>
          <w:tcPr>
            <w:tcW w:type="dxa" w:w="1728"/>
            <w:shd w:val="clear" w:color="auto" w:fill="1A3A5C"/>
          </w:tcPr>
          <w:p>
            <w:pPr>
              <w:jc w:val="left"/>
            </w:pPr>
            <w:r>
              <w:rPr>
                <w:rFonts w:ascii="Arial" w:hAnsi="Arial"/>
                <w:b/>
                <w:color w:val="FFFFFF"/>
                <w:sz w:val="18"/>
              </w:rPr>
              <w:t>SCALE POTENTIAL</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Transaction fee</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&lt; 0.5% per transaction</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10M txns/mo = $500K MRR at $1 avg</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$6M ARR at modest scale</w:t>
            </w:r>
          </w:p>
        </w:tc>
      </w:tr>
      <w:tr>
        <w:tc>
          <w:tcPr>
            <w:tcW w:type="dxa" w:w="2160"/>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SaaS bioAuth keys</w:t>
            </w:r>
          </w:p>
        </w:tc>
        <w:tc>
          <w:tcPr>
            <w:tcW w:type="dxa" w:w="2592"/>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$99/mo per business key</w:t>
            </w:r>
          </w:p>
        </w:tc>
        <w:tc>
          <w:tcPr>
            <w:tcW w:type="dxa" w:w="2880"/>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10K keys = $990K MRR</w:t>
            </w:r>
          </w:p>
        </w:tc>
        <w:tc>
          <w:tcPr>
            <w:tcW w:type="dxa" w:w="1728"/>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$11.9M ARR</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Government API licensing</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Per-API call pricing</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Fed/IRS contracts TBD</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Govt contracts: $10M+/yr</w:t>
            </w:r>
          </w:p>
        </w:tc>
      </w:tr>
      <w:tr>
        <w:tc>
          <w:tcPr>
            <w:tcW w:type="dxa" w:w="2160"/>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Enterprise smart contracts</w:t>
            </w:r>
          </w:p>
        </w:tc>
        <w:tc>
          <w:tcPr>
            <w:tcW w:type="dxa" w:w="2592"/>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Escrow fee 0.25%</w:t>
            </w:r>
          </w:p>
        </w:tc>
        <w:tc>
          <w:tcPr>
            <w:tcW w:type="dxa" w:w="2880"/>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$100M escrowed = $250K/yr</w:t>
            </w:r>
          </w:p>
        </w:tc>
        <w:tc>
          <w:tcPr>
            <w:tcW w:type="dxa" w:w="1728"/>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Scales with B2B volume</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mBridge remittance</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Flat fee + FX spread</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$0.50-$2.00 per transfer</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$1B volume = $5M fees</w:t>
            </w:r>
          </w:p>
        </w:tc>
      </w:tr>
    </w:tbl>
    <w:p>
      <w:pPr>
        <w:spacing w:before="320" w:after="120"/>
        <w:pBdr>
          <w:bottom w:val="single" w:sz="12" w:space="1" w:color="C9A227"/>
        </w:pBdr>
      </w:pPr>
      <w:r>
        <w:rPr>
          <w:rFonts w:ascii="Arial" w:hAnsi="Arial"/>
          <w:b/>
          <w:color w:val="1A3A5C"/>
          <w:sz w:val="36"/>
        </w:rPr>
        <w:t>WHY SOVEREIGN ARCHITECTURE WINS</w:t>
      </w:r>
    </w:p>
    <w:p>
      <w:pPr>
        <w:spacing w:before="80" w:after="120"/>
        <w:jc w:val="left"/>
      </w:pPr>
      <w:r>
        <w:rPr>
          <w:rFonts w:ascii="Arial" w:hAnsi="Arial"/>
          <w:b w:val="0"/>
          <w:color w:val="0D1B2A"/>
          <w:sz w:val="22"/>
        </w:rPr>
        <w:t>Every major payment platform of the last 20 years has been built on top of the existing banking system, which means they inherit all of its costs, vulnerabilities, and regulatory dependencies. MyBuyO is the first consumer-facing payment platform built beneath the banking system — directly on Federal Reserve infrastructure — with biometric identity and DLT settlement as the core stack.</w:t>
      </w:r>
    </w:p>
    <w:p>
      <w:pPr>
        <w:pStyle w:val="ListBullet"/>
        <w:spacing w:before="40" w:after="40"/>
      </w:pPr>
      <w:r>
        <w:rPr>
          <w:rFonts w:ascii="Arial" w:hAnsi="Arial"/>
          <w:color w:val="0D1B2A"/>
          <w:sz w:val="21"/>
        </w:rPr>
        <w:t>No card network dependency: Visa and Mastercard cannot deplatform MyBuyO users</w:t>
      </w:r>
    </w:p>
    <w:p>
      <w:pPr>
        <w:pStyle w:val="ListBullet"/>
        <w:spacing w:before="40" w:after="40"/>
      </w:pPr>
      <w:r>
        <w:rPr>
          <w:rFonts w:ascii="Arial" w:hAnsi="Arial"/>
          <w:color w:val="0D1B2A"/>
          <w:sz w:val="21"/>
        </w:rPr>
        <w:t>No bank dependency: Users without bank accounts can access the full platform via biometric wallet</w:t>
      </w:r>
    </w:p>
    <w:p>
      <w:pPr>
        <w:pStyle w:val="ListBullet"/>
        <w:spacing w:before="40" w:after="40"/>
      </w:pPr>
      <w:r>
        <w:rPr>
          <w:rFonts w:ascii="Arial" w:hAnsi="Arial"/>
          <w:color w:val="0D1B2A"/>
          <w:sz w:val="21"/>
        </w:rPr>
        <w:t>No country dependency: mBridge integration enables cross-border without correspondent banking</w:t>
      </w:r>
    </w:p>
    <w:p>
      <w:pPr>
        <w:pStyle w:val="ListBullet"/>
        <w:spacing w:before="40" w:after="40"/>
      </w:pPr>
      <w:r>
        <w:rPr>
          <w:rFonts w:ascii="Arial" w:hAnsi="Arial"/>
          <w:color w:val="0D1B2A"/>
          <w:sz w:val="21"/>
        </w:rPr>
        <w:t>No device dependency: FacePrintPay works on any camera-equipped device</w:t>
      </w:r>
    </w:p>
    <w:p>
      <w:pPr>
        <w:pStyle w:val="ListBullet"/>
        <w:spacing w:before="40" w:after="40"/>
      </w:pPr>
      <w:r>
        <w:rPr>
          <w:rFonts w:ascii="Arial" w:hAnsi="Arial"/>
          <w:color w:val="0D1B2A"/>
          <w:sz w:val="21"/>
        </w:rPr>
        <w:t>GDPR/HIPAA by architecture: biometric data never leaves the user's device</w:t>
      </w:r>
    </w:p>
    <w:p>
      <w:pPr>
        <w:pStyle w:val="ListBullet"/>
        <w:spacing w:before="40" w:after="40"/>
      </w:pPr>
      <w:r>
        <w:rPr>
          <w:rFonts w:ascii="Arial" w:hAnsi="Arial"/>
          <w:color w:val="0D1B2A"/>
          <w:sz w:val="21"/>
        </w:rPr>
        <w:t>Operator-held keys: FacePrintPay Inc. controls the rails, not a cloud provider</w:t>
      </w:r>
    </w:p>
    <w:p>
      <w:pPr>
        <w:spacing w:before="320" w:after="120"/>
        <w:pBdr>
          <w:bottom w:val="single" w:sz="12" w:space="1" w:color="C9A227"/>
        </w:pBdr>
      </w:pPr>
      <w:r>
        <w:rPr>
          <w:rFonts w:ascii="Arial" w:hAnsi="Arial"/>
          <w:b/>
          <w:color w:val="1A3A5C"/>
          <w:sz w:val="36"/>
        </w:rPr>
        <w:t>INTEGRATION WITH CONSTELLATION25 ECOSYSTEM</w:t>
      </w:r>
    </w:p>
    <w:p>
      <w:pPr>
        <w:spacing w:before="80" w:after="120"/>
        <w:jc w:val="left"/>
      </w:pPr>
      <w:r>
        <w:rPr>
          <w:rFonts w:ascii="Arial" w:hAnsi="Arial"/>
          <w:b w:val="0"/>
          <w:color w:val="0D1B2A"/>
          <w:sz w:val="22"/>
        </w:rPr>
        <w:t>MyBuyO is not a standalone product — it is the financial layer of the sovereign AI empire. Every product in the C25 stack either generates revenue through MyBuyO or uses it for payments:</w:t>
      </w:r>
    </w:p>
    <w:p>
      <w:pPr>
        <w:pStyle w:val="ListBullet"/>
        <w:spacing w:before="40" w:after="40"/>
      </w:pPr>
      <w:r>
        <w:rPr>
          <w:rFonts w:ascii="Arial" w:hAnsi="Arial"/>
          <w:color w:val="0D1B2A"/>
          <w:sz w:val="21"/>
        </w:rPr>
        <w:t>Planetary Agents ($99/mo): bioAuth key billing via MyBuyO</w:t>
      </w:r>
    </w:p>
    <w:p>
      <w:pPr>
        <w:pStyle w:val="ListBullet"/>
        <w:spacing w:before="40" w:after="40"/>
      </w:pPr>
      <w:r>
        <w:rPr>
          <w:rFonts w:ascii="Arial" w:hAnsi="Arial"/>
          <w:color w:val="0D1B2A"/>
          <w:sz w:val="21"/>
        </w:rPr>
        <w:t>VideoCourts ($19.99/appearance): court appearance fees via MyBuyO smart contract escrow</w:t>
      </w:r>
    </w:p>
    <w:p>
      <w:pPr>
        <w:pStyle w:val="ListBullet"/>
        <w:spacing w:before="40" w:after="40"/>
      </w:pPr>
      <w:r>
        <w:rPr>
          <w:rFonts w:ascii="Arial" w:hAnsi="Arial"/>
          <w:color w:val="0D1B2A"/>
          <w:sz w:val="21"/>
        </w:rPr>
        <w:t>FacePrintPay: identity verification layer used at every MyBuyO transaction point</w:t>
      </w:r>
    </w:p>
    <w:p>
      <w:pPr>
        <w:pStyle w:val="ListBullet"/>
        <w:spacing w:before="40" w:after="40"/>
      </w:pPr>
      <w:r>
        <w:rPr>
          <w:rFonts w:ascii="Arial" w:hAnsi="Arial"/>
          <w:color w:val="0D1B2A"/>
          <w:sz w:val="21"/>
        </w:rPr>
        <w:t>SovereignGTP: enterprise license fees via MyBuyO B2B smart contracts</w:t>
      </w:r>
    </w:p>
    <w:p>
      <w:pPr>
        <w:pStyle w:val="ListBullet"/>
        <w:spacing w:before="40" w:after="40"/>
      </w:pPr>
      <w:r>
        <w:rPr>
          <w:rFonts w:ascii="Arial" w:hAnsi="Arial"/>
          <w:color w:val="0D1B2A"/>
          <w:sz w:val="21"/>
        </w:rPr>
        <w:t>YesQuid™ luxury memberships: Gold/Platinum/Sovereign tier billing via MyBuyO</w:t>
      </w:r>
    </w:p>
    <w:p>
      <w:pPr>
        <w:pStyle w:val="ListBullet"/>
        <w:spacing w:before="40" w:after="40"/>
      </w:pPr>
      <w:r>
        <w:rPr>
          <w:rFonts w:ascii="Arial" w:hAnsi="Arial"/>
          <w:color w:val="0D1B2A"/>
          <w:sz w:val="21"/>
        </w:rPr>
        <w:t>C25 Agent Economy: inter-agent task billing and fee settlement on sovereign rail</w:t>
      </w:r>
    </w:p>
    <w:p>
      <w:pPr>
        <w:pStyle w:val="ListBullet"/>
        <w:spacing w:before="40" w:after="40"/>
      </w:pPr>
      <w:r>
        <w:rPr>
          <w:rFonts w:ascii="Arial" w:hAnsi="Arial"/>
          <w:color w:val="0D1B2A"/>
          <w:sz w:val="21"/>
        </w:rPr>
        <w:t>Kre8tive Holdings LP distributions: sovereign fund distributions via DigiDollar</w:t>
      </w:r>
    </w:p>
    <w:p>
      <w:pPr>
        <w:spacing w:before="160" w:after="120"/>
        <w:jc w:val="left"/>
      </w:pPr>
      <w:r>
        <w:rPr>
          <w:rFonts w:ascii="Arial" w:hAnsi="Arial"/>
          <w:b/>
          <w:color w:val="1A3A5C"/>
          <w:sz w:val="22"/>
        </w:rPr>
        <w:t>This integration makes MyBuyO the most valuable component of the C25 stack from a recurring revenue standpoint. Every product in the empire eventually flows through the payment rail.</w:t>
      </w:r>
    </w:p>
    <w:p>
      <w:pPr>
        <w:spacing w:before="320" w:after="120"/>
        <w:pBdr>
          <w:bottom w:val="single" w:sz="12" w:space="1" w:color="C9A227"/>
        </w:pBdr>
      </w:pPr>
      <w:r>
        <w:rPr>
          <w:rFonts w:ascii="Arial" w:hAnsi="Arial"/>
          <w:b/>
          <w:color w:val="1A3A5C"/>
          <w:sz w:val="36"/>
        </w:rPr>
        <w:t>WHAT THIS MEANS FOR INVESTORS</w:t>
      </w:r>
    </w:p>
    <w:tbl>
      <w:tblPr>
        <w:tblStyle w:val="TableGrid"/>
        <w:tblW w:type="auto" w:w="0"/>
        <w:tblLook w:firstColumn="1" w:firstRow="1" w:lastColumn="0" w:lastRow="0" w:noHBand="0" w:noVBand="1" w:val="04A0"/>
      </w:tblPr>
      <w:tblGrid>
        <w:gridCol w:w="4680"/>
        <w:gridCol w:w="4680"/>
      </w:tblGrid>
      <w:tr>
        <w:tc>
          <w:tcPr>
            <w:tcW w:type="dxa" w:w="3600"/>
            <w:shd w:val="clear" w:color="auto" w:fill="1A3A5C"/>
          </w:tcPr>
          <w:p>
            <w:pPr>
              <w:jc w:val="left"/>
            </w:pPr>
            <w:r>
              <w:rPr>
                <w:rFonts w:ascii="Arial" w:hAnsi="Arial"/>
                <w:b/>
                <w:color w:val="FFFFFF"/>
                <w:sz w:val="18"/>
              </w:rPr>
              <w:t>INVESTOR QUESTION</w:t>
            </w:r>
          </w:p>
        </w:tc>
        <w:tc>
          <w:tcPr>
            <w:tcW w:type="dxa" w:w="7200"/>
            <w:shd w:val="clear" w:color="auto" w:fill="1A3A5C"/>
          </w:tcPr>
          <w:p>
            <w:pPr>
              <w:jc w:val="left"/>
            </w:pPr>
            <w:r>
              <w:rPr>
                <w:rFonts w:ascii="Arial" w:hAnsi="Arial"/>
                <w:b/>
                <w:color w:val="FFFFFF"/>
                <w:sz w:val="18"/>
              </w:rPr>
              <w:t>MYBUYO ANSWER</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What is the moat?</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Federal Reserve network integration + biometric identity layer + DLT settlement. No competitor has all three.</w:t>
            </w:r>
          </w:p>
        </w:tc>
      </w:tr>
      <w:tr>
        <w:tc>
          <w:tcPr>
            <w:tcW w:type="dxa" w:w="3600"/>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Who are the customers?</w:t>
            </w:r>
          </w:p>
        </w:tc>
        <w:tc>
          <w:tcPr>
            <w:tcW w:type="dxa" w:w="7200"/>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150M US consumers without bank accounts, 150M annual tax filers, 42M SNAP recipients, all B2B enterprise clients in the C25 stack.</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What is the regulatory path?</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MyBuyO operates as a payment processor (MSB license) not a bank, with CBDC rails provided by the Federal Reserve. Lower regulatory burden than a bank charter.</w:t>
            </w:r>
          </w:p>
        </w:tc>
      </w:tr>
      <w:tr>
        <w:tc>
          <w:tcPr>
            <w:tcW w:type="dxa" w:w="3600"/>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How does it scale?</w:t>
            </w:r>
          </w:p>
        </w:tc>
        <w:tc>
          <w:tcPr>
            <w:tcW w:type="dxa" w:w="7200"/>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Software-defined rails scale horizontally. Agent infrastructure (C25) handles routing. No physical branch, no teller, no card manufacturing.</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What is the exit?</w:t>
            </w:r>
          </w:p>
        </w:tc>
        <w:tc>
          <w:tcPr>
            <w:tcW w:type="dxa" w:w="7200"/>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Acquisition by a major bank wanting a sovereign rail, a government contract for G2C payments, or public market via Mobile Titan / APPZ reverse merger.</w:t>
            </w:r>
          </w:p>
        </w:tc>
      </w:tr>
      <w:tr>
        <w:tc>
          <w:tcPr>
            <w:tcW w:type="dxa" w:w="3600"/>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What is the timeline to revenue?</w:t>
            </w:r>
          </w:p>
        </w:tc>
        <w:tc>
          <w:tcPr>
            <w:tcW w:type="dxa" w:w="7200"/>
            <w:shd w:val="clear" w:color="auto" w:fill="F2F5FA"/>
            <w:tcBorders>
              <w:top w:val="single" w:sz="4" w:space="0" w:color="CCCCCC"/>
              <w:left w:val="single" w:sz="4" w:space="0" w:color="CCCCCC"/>
              <w:bottom w:val="single" w:sz="4" w:space="0" w:color="CCCCCC"/>
              <w:right w:val="single" w:sz="4" w:space="0" w:color="CCCCCC"/>
            </w:tcBorders>
          </w:tcPr>
          <w:p>
            <w:r>
              <w:rPr>
                <w:rFonts w:ascii="Arial" w:hAnsi="Arial"/>
                <w:color w:val="0D1B2A"/>
                <w:sz w:val="20"/>
              </w:rPr>
              <w:t>Existing bioAuth key infrastructure is live. Transaction fee revenue activates at merchant onboarding. IRS Direct integration is filed.</w:t>
            </w:r>
          </w:p>
        </w:tc>
      </w:tr>
    </w:tbl>
    <w:p/>
    <w:p>
      <w:pPr>
        <w:pBdr>
          <w:top w:val="single" w:sz="4" w:space="1" w:color="C9A227"/>
        </w:pBdr>
      </w:pPr>
      <w:r>
        <w:rPr>
          <w:rFonts w:ascii="Arial" w:hAnsi="Arial"/>
          <w:color w:val="4A6080"/>
          <w:sz w:val="18"/>
        </w:rPr>
        <w:t>Cygel White  ·  FacePrintPay Inc.  ·  Kre8tive Konceptz Ltd  ·  North Carolina  ·  2026</w:t>
      </w:r>
    </w:p>
    <w:p>
      <w:r>
        <w:rPr>
          <w:rFonts w:ascii="Arial" w:hAnsi="Arial"/>
          <w:b/>
          <w:color w:val="C9A227"/>
          <w:sz w:val="16"/>
        </w:rPr>
        <w:t>MYBUYO · DIGIDOLLAR · FACEPRINTPAY · SOVEREIGN PAYMENT RAIL · FEDERAL RESERVE NETWORK · LIFTOFF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