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70" w:rsidRDefault="00DB5870" w:rsidP="00DB5870">
      <w:pPr>
        <w:pStyle w:val="IntensivesZitat"/>
      </w:pPr>
      <w:r>
        <w:t>Abstract</w:t>
      </w:r>
    </w:p>
    <w:p w:rsidR="00D97A7A" w:rsidRDefault="00D97A7A" w:rsidP="00D97A7A">
      <w:pPr>
        <w:jc w:val="both"/>
      </w:pPr>
    </w:p>
    <w:p w:rsidR="00DB5870" w:rsidRDefault="00DB5870" w:rsidP="00D97A7A">
      <w:pPr>
        <w:jc w:val="both"/>
      </w:pPr>
      <w:r>
        <w:t>Die Bachelorarbeit handelt von „Testautomatisierung im Rahmen von Test-Driven-Development“.</w:t>
      </w:r>
    </w:p>
    <w:p w:rsidR="00DB5870" w:rsidRDefault="00DB5870" w:rsidP="00D97A7A">
      <w:pPr>
        <w:jc w:val="both"/>
      </w:pPr>
      <w:r>
        <w:t>Aufgrund immer komplexer werdenden Prozessen und Entwicklungsansätzen in heutigen IT-Unternehmen, die den stetigen Wandel und Anforderungen – auch im Rahmen der Digitalisierung – der Kunden gerecht werden müssen, ergeben sich stets neue Ansätze der Softwareentwicklung. Dabei inbegriffen sind Themen im Bezug zur Kommunikation, Anforderungsmanagement, Qualitätssicherung im Rahmen von Softwaretests sowie viele weitere Faktoren, welche je nach Szenario und Entwicklungsansatz mit einer differenzierten Strategie betrachtet werden.</w:t>
      </w:r>
    </w:p>
    <w:p w:rsidR="00DB5870" w:rsidRDefault="00DB5870" w:rsidP="00D97A7A">
      <w:pPr>
        <w:jc w:val="both"/>
      </w:pPr>
      <w:r>
        <w:t>Besonders im Bereich der Softwarequalität gelangen Tests durch das Komplexitätsniveau oftmals unbedacht in den Hintergrund und werden ebenso aufgrund diverse Ressourcenfaktoren vernachlässigt.</w:t>
      </w:r>
    </w:p>
    <w:p w:rsidR="00DB5870" w:rsidRDefault="00DB5870" w:rsidP="00D97A7A">
      <w:pPr>
        <w:jc w:val="both"/>
      </w:pPr>
      <w:r>
        <w:t>Somit ist Ziel dieser Arbeit eine Übersicht der möglichen Test-Verfahren im Rahmen des Test-Driven-Development (kurz: TDD) darzustellen. Dazu gehört das Allgemeine Verständnis inklusive die Anwendung und Etablierung in Kombination detaillierterer Verfahren, wie zum Beispiel Feature-TDD, Acceptance-TDD und Behaviour-TDD.</w:t>
      </w:r>
    </w:p>
    <w:p w:rsidR="00DB5870" w:rsidRDefault="00DB5870" w:rsidP="00D97A7A">
      <w:pPr>
        <w:jc w:val="both"/>
      </w:pPr>
      <w:r>
        <w:t xml:space="preserve">Folglich lässt sich die Arbeit zum einen in einen </w:t>
      </w:r>
      <w:r w:rsidR="00D97A7A">
        <w:t>Theorieteil</w:t>
      </w:r>
      <w:r>
        <w:t xml:space="preserve">, der oben genanntes vermitteln soll, als auch in einen Praxisteil, der die Etablierung solcher Szenarien </w:t>
      </w:r>
      <w:r w:rsidR="00D97A7A">
        <w:t xml:space="preserve">mit geeigneter Technologien </w:t>
      </w:r>
      <w:r>
        <w:t>vorstellen soll</w:t>
      </w:r>
      <w:r w:rsidR="00D97A7A">
        <w:t>, gliedern</w:t>
      </w:r>
      <w:r>
        <w:t>.</w:t>
      </w:r>
    </w:p>
    <w:p w:rsidR="00D97A7A" w:rsidRDefault="00D97A7A" w:rsidP="00D97A7A">
      <w:pPr>
        <w:jc w:val="both"/>
      </w:pPr>
      <w:r>
        <w:t xml:space="preserve">Besonders in der Praxis ist jede Anwendung individuell und besitzt Eigenschaften hinsichtlich Softwarearchitektur, Anforderungen, Qualität, Ist-Zustand, Soll-Zustand </w:t>
      </w:r>
      <w:r w:rsidR="00210551">
        <w:t>etc.</w:t>
      </w:r>
      <w:r>
        <w:t>, die beachtet werden müssen. Dabei soll im Rahmen dieser Arbeit ein Vergleich zwischen zwei Anwendungsszenarien vorgestellt werden:</w:t>
      </w:r>
    </w:p>
    <w:p w:rsidR="00D97A7A" w:rsidRDefault="00D97A7A" w:rsidP="00D97A7A">
      <w:pPr>
        <w:pStyle w:val="Listenabsatz"/>
        <w:numPr>
          <w:ilvl w:val="0"/>
          <w:numId w:val="1"/>
        </w:numPr>
        <w:jc w:val="both"/>
      </w:pPr>
      <w:r>
        <w:t>Eine Alt-Anwendung, die bereits seit längeren existent ist</w:t>
      </w:r>
    </w:p>
    <w:p w:rsidR="00D97A7A" w:rsidRDefault="00D97A7A" w:rsidP="00D97A7A">
      <w:pPr>
        <w:pStyle w:val="Listenabsatz"/>
        <w:numPr>
          <w:ilvl w:val="0"/>
          <w:numId w:val="1"/>
        </w:numPr>
        <w:jc w:val="both"/>
      </w:pPr>
      <w:r>
        <w:t>Eine Neu-Anwendung, die auf aktuelleren Technologien und Design basiert</w:t>
      </w:r>
    </w:p>
    <w:p w:rsidR="00D97A7A" w:rsidRDefault="00EB25C7" w:rsidP="00D97A7A">
      <w:pPr>
        <w:jc w:val="both"/>
      </w:pPr>
      <w:r>
        <w:t>Dabei muss beachtet werden</w:t>
      </w:r>
      <w:r w:rsidR="00D97A7A">
        <w:t>, dass Alt-Anwendungen oftmals bezüglich der Architektur und Softwaredesign verschachtelter</w:t>
      </w:r>
      <w:r>
        <w:t xml:space="preserve"> und ebenso unübersichtlicher</w:t>
      </w:r>
      <w:r w:rsidR="00D97A7A">
        <w:t xml:space="preserve"> sind. Dies erzwingt eine alternative Herangehensweise bei der Etablierung von TDD und dazugehöriger Software im Vergleich zu Neu-Anwendungen, die durch spezielle Schichtentrennungen, Softwaredesigns und Technologien eine Etablierung vereinfachen. Auf beide Szenarien wird im Praxisteil eingegangen.</w:t>
      </w:r>
    </w:p>
    <w:p w:rsidR="00CF1C06" w:rsidRPr="00DB5870" w:rsidRDefault="00CF1C06" w:rsidP="00D97A7A">
      <w:pPr>
        <w:jc w:val="both"/>
      </w:pPr>
      <w:r>
        <w:t>Für die Etablierung von TDD wird die formale Sprache „Gherkin“ in Kombination mit „Cucumber“ verwendet. Die vorgestellte Alt-Anwendung basiert auf Google-Web-Toolkit (kurz: GWT) und die Neu-Anwendung auf Spring Boot in Kombination mit Vue.js</w:t>
      </w:r>
      <w:r w:rsidR="00AB54AA">
        <w:t>.</w:t>
      </w:r>
      <w:bookmarkStart w:id="0" w:name="_GoBack"/>
      <w:bookmarkEnd w:id="0"/>
    </w:p>
    <w:sectPr w:rsidR="00CF1C06" w:rsidRPr="00DB5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C3FA4"/>
    <w:multiLevelType w:val="hybridMultilevel"/>
    <w:tmpl w:val="AF7A50FC"/>
    <w:lvl w:ilvl="0" w:tplc="B214454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70"/>
    <w:rsid w:val="001563F1"/>
    <w:rsid w:val="00210551"/>
    <w:rsid w:val="003A44F5"/>
    <w:rsid w:val="006C190E"/>
    <w:rsid w:val="008720FC"/>
    <w:rsid w:val="009165BB"/>
    <w:rsid w:val="00943757"/>
    <w:rsid w:val="00A066FD"/>
    <w:rsid w:val="00AB54AA"/>
    <w:rsid w:val="00B84715"/>
    <w:rsid w:val="00CF1C06"/>
    <w:rsid w:val="00D97A7A"/>
    <w:rsid w:val="00DB5870"/>
    <w:rsid w:val="00EB25C7"/>
    <w:rsid w:val="00E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2D6A"/>
  <w15:chartTrackingRefBased/>
  <w15:docId w15:val="{DF4837AF-4854-4E9D-AFE0-A81DAECF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DB5870"/>
    <w:pPr>
      <w:pBdr>
        <w:top w:val="single" w:sz="4" w:space="10" w:color="00718F" w:themeColor="accent1"/>
        <w:bottom w:val="single" w:sz="4" w:space="10" w:color="00718F" w:themeColor="accent1"/>
      </w:pBdr>
      <w:spacing w:before="360" w:after="360"/>
      <w:ind w:left="864" w:right="864"/>
      <w:jc w:val="center"/>
    </w:pPr>
    <w:rPr>
      <w:i/>
      <w:iCs/>
      <w:color w:val="00718F" w:themeColor="accent1"/>
    </w:rPr>
  </w:style>
  <w:style w:type="character" w:customStyle="1" w:styleId="IntensivesZitatZchn">
    <w:name w:val="Intensives Zitat Zchn"/>
    <w:basedOn w:val="Absatz-Standardschriftart"/>
    <w:link w:val="IntensivesZitat"/>
    <w:uiPriority w:val="30"/>
    <w:rsid w:val="00DB5870"/>
    <w:rPr>
      <w:i/>
      <w:iCs/>
      <w:color w:val="00718F" w:themeColor="accent1"/>
    </w:rPr>
  </w:style>
  <w:style w:type="paragraph" w:styleId="Listenabsatz">
    <w:name w:val="List Paragraph"/>
    <w:basedOn w:val="Standard"/>
    <w:uiPriority w:val="34"/>
    <w:qFormat/>
    <w:rsid w:val="00D97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othaer_Office-Design_20121202">
  <a:themeElements>
    <a:clrScheme name="Gothaer_Designfarben_Version 0.9">
      <a:dk1>
        <a:srgbClr val="000000"/>
      </a:dk1>
      <a:lt1>
        <a:srgbClr val="FFFFFF"/>
      </a:lt1>
      <a:dk2>
        <a:srgbClr val="005064"/>
      </a:dk2>
      <a:lt2>
        <a:srgbClr val="CCE3E9"/>
      </a:lt2>
      <a:accent1>
        <a:srgbClr val="00718F"/>
      </a:accent1>
      <a:accent2>
        <a:srgbClr val="78B4C4"/>
      </a:accent2>
      <a:accent3>
        <a:srgbClr val="A7C800"/>
      </a:accent3>
      <a:accent4>
        <a:srgbClr val="4899AF"/>
      </a:accent4>
      <a:accent5>
        <a:srgbClr val="E1100A"/>
      </a:accent5>
      <a:accent6>
        <a:srgbClr val="DFDCD7"/>
      </a:accent6>
      <a:hlink>
        <a:srgbClr val="0000FF"/>
      </a:hlink>
      <a:folHlink>
        <a:srgbClr val="800080"/>
      </a:folHlink>
    </a:clrScheme>
    <a:fontScheme name="CD_Schrift_Gothaer">
      <a:majorFont>
        <a:latin typeface="Arial"/>
        <a:ea typeface=""/>
        <a:cs typeface=""/>
      </a:majorFont>
      <a:minorFont>
        <a:latin typeface="Arial"/>
        <a:ea typeface=""/>
        <a:cs typeface=""/>
      </a:minorFont>
    </a:fontScheme>
    <a:fmtScheme name="Klarheit">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38100">
          <a:solidFill>
            <a:schemeClr val="accent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Gothaer Blau 35%">
      <a:srgbClr val="A8CFD9"/>
    </a:custClr>
    <a:custClr name="Gothaer Gruen 75%">
      <a:srgbClr val="BDD640"/>
    </a:custClr>
    <a:custClr name="Gothaer Gruen 50%">
      <a:srgbClr val="D3E380"/>
    </a:custClr>
    <a:custClr name="Gothaer Gruen 35%">
      <a:srgbClr val="E0ECA6"/>
    </a:custClr>
    <a:custClr name="Gothaer Gruen 20%">
      <a:srgbClr val="EDF4CC"/>
    </a:custClr>
    <a:custClr name="Gothaer Grau 75% ">
      <a:srgbClr val="E7E5E1"/>
    </a:custClr>
    <a:custClr name="Gothaer Grau 50%">
      <a:srgbClr val="EFEDEB"/>
    </a:custClr>
    <a:custClr name="Gothaer Grau 35%">
      <a:srgbClr val="F4F3F1"/>
    </a:custClr>
    <a:custClr name="Gothaer Grau 20%">
      <a:srgbClr val="F9F8F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3E22-BEC0-450A-B94F-5659C2E4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Gothaer Versicherung</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5</cp:revision>
  <dcterms:created xsi:type="dcterms:W3CDTF">2020-06-09T14:41:00Z</dcterms:created>
  <dcterms:modified xsi:type="dcterms:W3CDTF">2020-06-09T15:05:00Z</dcterms:modified>
</cp:coreProperties>
</file>