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Agente inteligente con RAG sobre la API REST de GitHub</w:t>
      </w:r>
    </w:p>
    <w:p>
      <w:pPr>
        <w:spacing w:after="3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Informe técnico · Trabajo de Laboratorio N° 2 · Inteligencia Artificial – Sistemas Inteligentes · FCEFyN – UNC</w:t>
      </w:r>
    </w:p>
    <w:p>
      <w:pPr>
        <w:tabs>
          <w:tab w:val="right" w:pos="9864"/>
        </w:tabs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Integrantes: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</w:t>
      </w:r>
      <w:r>
        <w:rPr>
          <w:rFonts w:ascii="Calibri" w:cs="Calibri" w:eastAsia="Calibri" w:hAnsi="Calibri"/>
          <w:sz w:val="18"/>
          <w:szCs w:val="18"/>
        </w:rPr>
        <w:t xml:space="preserve">	Fecha: octubre de 2026</w:t>
      </w:r>
    </w:p>
    <w:p>
      <w:pPr>
        <w:pBdr>
          <w:bottom w:val="single" w:color="BFBFBF" w:sz="4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Corpus técnico: construcción, limpieza y segmentación</w:t>
      </w:r>
    </w:p>
    <w:p>
      <w:pPr>
        <w:spacing w:after="60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Se eligió como dominio la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API REST de GitHub</w:t>
      </w:r>
      <w:r>
        <w:rPr>
          <w:rFonts w:ascii="Calibri" w:cs="Calibri" w:eastAsia="Calibri" w:hAnsi="Calibri"/>
          <w:sz w:val="19"/>
          <w:szCs w:val="19"/>
        </w:rPr>
        <w:t xml:space="preserve"> (versión 2022-11-28): es una especificación formal y acotada en la que los LLMs suelen inventar rutas, parámetros y códigos de estado, por lo que el RAG aporta precisión verificable. El corpus son 4 documentos Markdown (≈21.000 caracteres) redactados a partir de la documentación oficial (docs.github.com/rest): autenticación y límites de uso; repositorios, ramas y releases; issues y etiquetas; pull requests y revisiones. Cada endpoint tiene su propio encabezado con método, ruta, parámetros y un ejemplo JSON. Se verificaron los datos contra la documentación oficial y se corrigieron imprecisiones (por ejemplo, sólo </w:t>
      </w:r>
      <w:r>
        <w:rPr>
          <w:rFonts w:ascii="Consolas" w:cs="Consolas" w:eastAsia="Consolas" w:hAnsi="Consolas"/>
          <w:sz w:val="18"/>
          <w:szCs w:val="18"/>
        </w:rPr>
        <w:t xml:space="preserve">User-Agent</w:t>
      </w:r>
      <w:r>
        <w:rPr>
          <w:rFonts w:ascii="Calibri" w:cs="Calibri" w:eastAsia="Calibri" w:hAnsi="Calibri"/>
          <w:sz w:val="19"/>
          <w:szCs w:val="19"/>
        </w:rPr>
        <w:t xml:space="preserve"> es obligatorio y el exceso de cuota devuelve 403 o 429).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Limpieza:</w:t>
      </w:r>
      <w:r>
        <w:rPr>
          <w:rFonts w:ascii="Calibri" w:cs="Calibri" w:eastAsia="Calibri" w:hAnsi="Calibri"/>
          <w:sz w:val="19"/>
          <w:szCs w:val="19"/>
        </w:rPr>
        <w:t xml:space="preserve"> normalización de saltos de línea y eliminación de separadores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Calibri" w:cs="Calibri" w:eastAsia="Calibri" w:hAnsi="Calibri"/>
          <w:sz w:val="19"/>
          <w:szCs w:val="19"/>
        </w:rPr>
        <w:t xml:space="preserve">, marcas de negrita y líneas vacías repetidas. Se conservan tablas y bloques de código porque contienen los datos exactos (rutas, campos JSON). Se agregó el sinónimo "campos obligatorios" junto a "parámetros requeridos", que es como los usuarios formulan las preguntas.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Segmentación estructural: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MarkdownHeaderTextSplitter</w:t>
      </w:r>
      <w:r>
        <w:rPr>
          <w:rFonts w:ascii="Calibri" w:cs="Calibri" w:eastAsia="Calibri" w:hAnsi="Calibri"/>
          <w:sz w:val="19"/>
          <w:szCs w:val="19"/>
        </w:rPr>
        <w:t xml:space="preserve"> corta por encabezados </w:t>
      </w:r>
      <w:r>
        <w:rPr>
          <w:rFonts w:ascii="Consolas" w:cs="Consolas" w:eastAsia="Consolas" w:hAnsi="Consolas"/>
          <w:sz w:val="18"/>
          <w:szCs w:val="18"/>
        </w:rPr>
        <w:t xml:space="preserve">#</w:t>
      </w:r>
      <w:r>
        <w:rPr>
          <w:rFonts w:ascii="Calibri" w:cs="Calibri" w:eastAsia="Calibri" w:hAnsi="Calibri"/>
          <w:sz w:val="19"/>
          <w:szCs w:val="19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##</w:t>
      </w:r>
      <w:r>
        <w:rPr>
          <w:rFonts w:ascii="Calibri" w:cs="Calibri" w:eastAsia="Calibri" w:hAnsi="Calibri"/>
          <w:sz w:val="19"/>
          <w:szCs w:val="19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###</w:t>
      </w:r>
      <w:r>
        <w:rPr>
          <w:rFonts w:ascii="Calibri" w:cs="Calibri" w:eastAsia="Calibri" w:hAnsi="Calibri"/>
          <w:sz w:val="19"/>
          <w:szCs w:val="19"/>
        </w:rPr>
        <w:t xml:space="preserve">, de modo que cada chunk es una sección completa, es decir, un endpoint con su tabla o lista de parámetros. </w:t>
      </w:r>
      <w:r>
        <w:rPr>
          <w:rFonts w:ascii="Consolas" w:cs="Consolas" w:eastAsia="Consolas" w:hAnsi="Consolas"/>
          <w:sz w:val="18"/>
          <w:szCs w:val="18"/>
        </w:rPr>
        <w:t xml:space="preserve">RecursiveCharacterTextSplitter</w:t>
      </w:r>
      <w:r>
        <w:rPr>
          <w:rFonts w:ascii="Calibri" w:cs="Calibri" w:eastAsia="Calibri" w:hAnsi="Calibri"/>
          <w:sz w:val="19"/>
          <w:szCs w:val="19"/>
        </w:rPr>
        <w:t xml:space="preserve"> (1500 caracteres, solapamiento 150) sólo actúa como resguardo si una sección supera ese tamaño. Una primera versión usaba 800 caracteres y partía tablas entre filas: el agente veía sólo la fila de </w:t>
      </w:r>
      <w:r>
        <w:rPr>
          <w:rFonts w:ascii="Consolas" w:cs="Consolas" w:eastAsia="Consolas" w:hAnsi="Consolas"/>
          <w:sz w:val="18"/>
          <w:szCs w:val="18"/>
        </w:rPr>
        <w:t xml:space="preserve">User-Agent</w:t>
      </w:r>
      <w:r>
        <w:rPr>
          <w:rFonts w:ascii="Calibri" w:cs="Calibri" w:eastAsia="Calibri" w:hAnsi="Calibri"/>
          <w:sz w:val="19"/>
          <w:szCs w:val="19"/>
        </w:rPr>
        <w:t xml:space="preserve"> y omitía el resto de las cabeceras. A cada chunk se le antepone su ruta de encabezados (p. ej. </w:t>
      </w:r>
      <w:r>
        <w:rPr>
          <w:rFonts w:ascii="Consolas" w:cs="Consolas" w:eastAsia="Consolas" w:hAnsi="Consolas"/>
          <w:sz w:val="18"/>
          <w:szCs w:val="18"/>
        </w:rPr>
        <w:t xml:space="preserve">[Issues y Etiquetas &gt; 1.2 Crear un Issue]</w:t>
      </w:r>
      <w:r>
        <w:rPr>
          <w:rFonts w:ascii="Calibri" w:cs="Calibri" w:eastAsia="Calibri" w:hAnsi="Calibri"/>
          <w:sz w:val="19"/>
          <w:szCs w:val="19"/>
        </w:rPr>
        <w:t xml:space="preserve">). Resultado: 39 chunks de 562 caracteres en promedio (máx. 1429, ≈ 400 tokens, dentro del límite de 512 del modelo de embeddings).</w:t>
      </w:r>
    </w:p>
    <w:p>
      <w:pPr>
        <w:pBdr>
          <w:bottom w:val="single" w:color="BFBFBF" w:sz="4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Base vectorial y técnica de búsqueda</w:t>
      </w:r>
    </w:p>
    <w:p>
      <w:pPr>
        <w:spacing w:after="6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Embeddings: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intfloat/multilingual-e5-small</w:t>
      </w:r>
      <w:r>
        <w:rPr>
          <w:rFonts w:ascii="Calibri" w:cs="Calibri" w:eastAsia="Calibri" w:hAnsi="Calibri"/>
          <w:sz w:val="19"/>
          <w:szCs w:val="19"/>
        </w:rPr>
        <w:t xml:space="preserve"> (384 dimensiones), elegido porque corpus y preguntas están en español; usa los prefijos </w:t>
      </w:r>
      <w:r>
        <w:rPr>
          <w:rFonts w:ascii="Consolas" w:cs="Consolas" w:eastAsia="Consolas" w:hAnsi="Consolas"/>
          <w:sz w:val="18"/>
          <w:szCs w:val="18"/>
        </w:rPr>
        <w:t xml:space="preserve">query:</w:t>
      </w:r>
      <w:r>
        <w:rPr>
          <w:rFonts w:ascii="Calibri" w:cs="Calibri" w:eastAsia="Calibri" w:hAnsi="Calibri"/>
          <w:sz w:val="19"/>
          <w:szCs w:val="19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passage:</w:t>
      </w:r>
      <w:r>
        <w:rPr>
          <w:rFonts w:ascii="Calibri" w:cs="Calibri" w:eastAsia="Calibri" w:hAnsi="Calibri"/>
          <w:sz w:val="19"/>
          <w:szCs w:val="19"/>
        </w:rPr>
        <w:t xml:space="preserve"> con los que fue entrenado.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Base vectorial:</w:t>
      </w:r>
      <w:r>
        <w:rPr>
          <w:rFonts w:ascii="Calibri" w:cs="Calibri" w:eastAsia="Calibri" w:hAnsi="Calibri"/>
          <w:sz w:val="19"/>
          <w:szCs w:val="19"/>
        </w:rPr>
        <w:t xml:space="preserve"> FAISS con </w:t>
      </w:r>
      <w:r>
        <w:rPr>
          <w:rFonts w:ascii="Consolas" w:cs="Consolas" w:eastAsia="Consolas" w:hAnsi="Consolas"/>
          <w:sz w:val="18"/>
          <w:szCs w:val="18"/>
        </w:rPr>
        <w:t xml:space="preserve">IndexFlatIP</w:t>
      </w:r>
      <w:r>
        <w:rPr>
          <w:rFonts w:ascii="Calibri" w:cs="Calibri" w:eastAsia="Calibri" w:hAnsi="Calibri"/>
          <w:sz w:val="19"/>
          <w:szCs w:val="19"/>
        </w:rPr>
        <w:t xml:space="preserve">; como los vectores están normalizados, el producto interno es la similitud coseno y la búsqueda es exacta (con 39 vectores no hace falta un índice aproximado).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Técnica de búsqueda: híbrida.</w:t>
      </w:r>
      <w:r>
        <w:rPr>
          <w:rFonts w:ascii="Calibri" w:cs="Calibri" w:eastAsia="Calibri" w:hAnsi="Calibri"/>
          <w:sz w:val="19"/>
          <w:szCs w:val="19"/>
        </w:rPr>
        <w:t xml:space="preserve"> Un modelo de embeddings pequeño puede pasar por alto términos exactos (</w:t>
      </w:r>
      <w:r>
        <w:rPr>
          <w:rFonts w:ascii="Consolas" w:cs="Consolas" w:eastAsia="Consolas" w:hAnsi="Consolas"/>
          <w:sz w:val="18"/>
          <w:szCs w:val="18"/>
        </w:rPr>
        <w:t xml:space="preserve">title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422</w:t>
      </w:r>
      <w:r>
        <w:rPr>
          <w:rFonts w:ascii="Calibri" w:cs="Calibri" w:eastAsia="Calibri" w:hAnsi="Calibri"/>
          <w:sz w:val="19"/>
          <w:szCs w:val="19"/>
        </w:rPr>
        <w:t xml:space="preserve">, "obligatorio"), así que se combina con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BM25</w:t>
      </w:r>
      <w:r>
        <w:rPr>
          <w:rFonts w:ascii="Calibri" w:cs="Calibri" w:eastAsia="Calibri" w:hAnsi="Calibri"/>
          <w:sz w:val="19"/>
          <w:szCs w:val="19"/>
        </w:rPr>
        <w:t xml:space="preserve"> (ranking léxico implementado sobre los mismos chunks). Cada buscador aporta 10 candidatos y se fusionan con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Reciprocal Rank Fusion</w:t>
      </w:r>
      <w:r>
        <w:rPr>
          <w:rFonts w:ascii="Calibri" w:cs="Calibri" w:eastAsia="Calibri" w:hAnsi="Calibri"/>
          <w:sz w:val="19"/>
          <w:szCs w:val="19"/>
        </w:rPr>
        <w:t xml:space="preserve">, RRF(d) = Σ 1/(60 + rango), que usa sólo posiciones y no requiere calibrar puntajes. El LLM recibe los 4 mejores. Evaluación con 16 preguntas parafraseadas de sección conocida (k = 4):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4"/>
        <w:gridCol w:w="1100"/>
        <w:gridCol w:w="1100"/>
        <w:gridCol w:w="1100"/>
      </w:tblGrid>
      <w:tr>
        <w:trPr>
          <w:tblHeader/>
        </w:trPr>
        <w:tc>
          <w:tcPr>
            <w:tcW w:type="dxa" w:w="6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Método de búsqueda (mismos chunks)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Hit@1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Hit@4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MRR</w:t>
            </w:r>
          </w:p>
        </w:tc>
      </w:tr>
      <w:tr>
        <w:tc>
          <w:tcPr>
            <w:tcW w:type="dxa" w:w="6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Semántica · all-MiniLM-L6-v2 (entrenado en inglés)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0,48</w:t>
            </w:r>
          </w:p>
        </w:tc>
      </w:tr>
      <w:tr>
        <w:tc>
          <w:tcPr>
            <w:tcW w:type="dxa" w:w="6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Semántica · multilingual-e5-small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0,78</w:t>
            </w:r>
          </w:p>
        </w:tc>
      </w:tr>
      <w:tr>
        <w:tc>
          <w:tcPr>
            <w:tcW w:type="dxa" w:w="6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Léxica · BM25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0,83</w:t>
            </w:r>
          </w:p>
        </w:tc>
      </w:tr>
      <w:tr>
        <w:tc>
          <w:tcPr>
            <w:tcW w:type="dxa" w:w="6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Híbrida · e5 + BM25 con RRF (elegida)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0,89</w:t>
            </w:r>
          </w:p>
        </w:tc>
      </w:tr>
    </w:tbl>
    <w:p>
      <w:pPr>
        <w:spacing w:after="40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La búsqueda híbrida es la mejor en las tres métricas: ubica primero la sección correcta en el 88 % de las preguntas, frente al 69 % de e5 y al 75 % de BM25, porque cada buscador compensa los fallos del otro. El modelo entrenado en inglés queda muy por debajo (38 %), lo que confirma la elección de un modelo multilingüe.</w:t>
      </w:r>
    </w:p>
    <w:p>
      <w:pPr>
        <w:pBdr>
          <w:bottom w:val="single" w:color="BFBFBF" w:sz="4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Agente: herramientas y flujo de trabajo</w:t>
      </w:r>
    </w:p>
    <w:p>
      <w:pPr>
        <w:spacing w:after="6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LLM: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qwen2.5:7b</w:t>
      </w:r>
      <w:r>
        <w:rPr>
          <w:rFonts w:ascii="Calibri" w:cs="Calibri" w:eastAsia="Calibri" w:hAnsi="Calibri"/>
          <w:sz w:val="19"/>
          <w:szCs w:val="19"/>
        </w:rPr>
        <w:t xml:space="preserve"> ejecutado localmente con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Ollama</w:t>
      </w:r>
      <w:r>
        <w:rPr>
          <w:rFonts w:ascii="Calibri" w:cs="Calibri" w:eastAsia="Calibri" w:hAnsi="Calibri"/>
          <w:sz w:val="19"/>
          <w:szCs w:val="19"/>
        </w:rPr>
        <w:t xml:space="preserve"> (sin claves de API; temperatura 0 y contexto ampliado a 8192 tokens para que entren los fragmentos).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Orquestación: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create_agent</w:t>
      </w:r>
      <w:r>
        <w:rPr>
          <w:rFonts w:ascii="Calibri" w:cs="Calibri" w:eastAsia="Calibri" w:hAnsi="Calibri"/>
          <w:sz w:val="19"/>
          <w:szCs w:val="19"/>
        </w:rPr>
        <w:t xml:space="preserve"> de LangChain, que implementa el ciclo ReAct mediante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tool calling</w:t>
      </w:r>
      <w:r>
        <w:rPr>
          <w:rFonts w:ascii="Calibri" w:cs="Calibri" w:eastAsia="Calibri" w:hAnsi="Calibri"/>
          <w:sz w:val="19"/>
          <w:szCs w:val="19"/>
        </w:rPr>
        <w:t xml:space="preserve">. El agente tiene tres herramientas; el LLM elige cuáles usar a partir de su nombre y descripción: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250"/>
        <w:gridCol w:w="4714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Herramienta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4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Qué hace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consultar_documentacion_github(consulta)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RAG</w:t>
            </w:r>
          </w:p>
        </w:tc>
        <w:tc>
          <w:tcPr>
            <w:tcW w:type="dxa" w:w="4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Búsqueda híbrida en el corpus; devuelve los 4 fragmentos más relevantes con su archivo de origen.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consultar_repositorio_github(owner, repo)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Acción externa en vivo</w:t>
            </w:r>
          </w:p>
        </w:tc>
        <w:tc>
          <w:tcPr>
            <w:tcW w:type="dxa" w:w="4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Llama a la API real: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/repos/{owner}/{repo}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GET /search/issues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para separar issues de pull requests abiertos (el campo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open_issues_count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los suma).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calcular_cuota_rate_limit(solicitudes_por_hora, autenticado)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Cálculo</w:t>
            </w:r>
          </w:p>
        </w:tc>
        <w:tc>
          <w:tcPr>
            <w:tcW w:type="dxa" w:w="4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Límite aplicable (60 o 5000 por hora), porcentaje consumido, solicitudes restantes o excedentes e intervalo mínimo entre solicitudes.</w:t>
            </w:r>
          </w:p>
        </w:tc>
      </w:tr>
    </w:tbl>
    <w:p>
      <w:pPr>
        <w:spacing w:after="2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Flujo paso a paso (ciclo ReAct):</w:t>
      </w:r>
    </w:p>
    <w:p>
      <w:pPr>
        <w:pStyle w:val="ListParagraph"/>
        <w:numPr>
          <w:ilvl w:val="0"/>
          <w:numId w:val="3"/>
        </w:numPr>
        <w:spacing w:after="25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usuario envía la consulta. El LLM la recibe junto con las instrucciones del sistema y la descripción de cada herramienta.</w:t>
      </w:r>
    </w:p>
    <w:p>
      <w:pPr>
        <w:pStyle w:val="ListParagraph"/>
        <w:numPr>
          <w:ilvl w:val="0"/>
          <w:numId w:val="3"/>
        </w:numPr>
        <w:spacing w:after="25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LLM identifica las partes de la pregunta y emite una o varias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tool calls</w:t>
      </w:r>
      <w:r>
        <w:rPr>
          <w:rFonts w:ascii="Calibri" w:cs="Calibri" w:eastAsia="Calibri" w:hAnsi="Calibri"/>
          <w:sz w:val="19"/>
          <w:szCs w:val="19"/>
        </w:rPr>
        <w:t xml:space="preserve"> (nombre + argumentos JSON). No ejecuta nada por sí mismo.</w:t>
      </w:r>
    </w:p>
    <w:p>
      <w:pPr>
        <w:pStyle w:val="ListParagraph"/>
        <w:numPr>
          <w:ilvl w:val="0"/>
          <w:numId w:val="3"/>
        </w:numPr>
        <w:spacing w:after="25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LangChain ejecuta las funciones de Python: búsqueda híbrida en el corpus, petición HTTP a GitHub y/o cálculo de cuota.</w:t>
      </w:r>
    </w:p>
    <w:p>
      <w:pPr>
        <w:pStyle w:val="ListParagraph"/>
        <w:numPr>
          <w:ilvl w:val="0"/>
          <w:numId w:val="3"/>
        </w:numPr>
        <w:spacing w:after="25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Los resultados vuelven al LLM como observaciones; si necesita más datos repite el ciclo (máximo 12 pasos).</w:t>
      </w:r>
    </w:p>
    <w:p>
      <w:pPr>
        <w:pStyle w:val="ListParagraph"/>
        <w:numPr>
          <w:ilvl w:val="0"/>
          <w:numId w:val="3"/>
        </w:numPr>
        <w:spacing w:after="25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LLM redacta la respuesta final en español usando sólo esas observaciones: cita el archivo fuente ([Fuente: …]), aclara qué datos son en vivo y, si la documentación no cubre el tema, lo dice en lugar de inventar.</w:t>
      </w:r>
    </w:p>
    <w:p>
      <w:pPr>
        <w:pBdr>
          <w:bottom w:val="single" w:color="BFBFBF" w:sz="4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Ejemplo real de interacción</w:t>
      </w:r>
    </w:p>
    <w:p>
      <w:pPr>
        <w:spacing w:after="60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Ejecución real del notebook (17/10/2026) con </w:t>
      </w:r>
      <w:r>
        <w:rPr>
          <w:rFonts w:ascii="Consolas" w:cs="Consolas" w:eastAsia="Consolas" w:hAnsi="Consolas"/>
          <w:sz w:val="18"/>
          <w:szCs w:val="18"/>
        </w:rPr>
        <w:t xml:space="preserve">qwen2.5:7b</w:t>
      </w:r>
      <w:r>
        <w:rPr>
          <w:rFonts w:ascii="Calibri" w:cs="Calibri" w:eastAsia="Calibri" w:hAnsi="Calibri"/>
          <w:sz w:val="19"/>
          <w:szCs w:val="19"/>
        </w:rPr>
        <w:t xml:space="preserve"> en CPU (Ryzen 5 5600G, 16 GB de RAM, sin GPU). Las respuestas están resumidas; las completas, con la traza de acciones y observaciones, están en la sección 10 del notebook. La pregunta 5 está fuera del corpus a propósito, para verificar que el agente no invente.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5464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Pregunta del usuario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Herramientas invocadas</w:t>
            </w:r>
          </w:p>
        </w:tc>
        <w:tc>
          <w:tcPr>
            <w:tcW w:type="dxa" w:w="5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Respuesta del agente (resumida)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¿Qué cabeceras HTTP se recomienda enviar en cada solicitud a la API REST de GitHub y qué ocurre si una petición no incluye el User-Agent?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Documentación (RAG)</w:t>
            </w:r>
          </w:p>
        </w:tc>
        <w:tc>
          <w:tcPr>
            <w:tcW w:type="dxa" w:w="5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Enumera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Accept: application/vnd.github+json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Authorization: Bearer &lt;TOKEN&gt;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X-GitHub-Api-Version: 2022-11-28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User-Agent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(obligatorio por política de GitHub). Sin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User-Agent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la petición se rechaza con HTTP 403 [Fuente: 01_autenticacion_y_rate_limits.md]. (86 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Mi script hace 80 solicitudes por hora sin token. ¿Supera el límite? ¿Y con un token personal? ¿Qué código de error devolvería GitHub?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Cálculo (×2) + documentación</w:t>
            </w:r>
          </w:p>
        </w:tc>
        <w:tc>
          <w:tcPr>
            <w:tcW w:type="dxa" w:w="5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 token supera el límite de 60/h (133,3 % de la cuota, 20 solicitudes de exceso); con token queda dentro del límite de 5000/h (1,6 %, quedan 4920). Al excederlo GitHub responde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429 Too Many Requests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x-ratelimit-remaining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0 hasta el instante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x-ratelimit-reset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[Fuente: 01_autenticacion_y_rate_limits.md]. (82 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¿Cuántas estrellas, forks, issues abiertos y pull requests abiertos tiene actualmente facebook/react, y cuál es su lenguaje principal?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Repositorio en vivo</w:t>
            </w:r>
          </w:p>
        </w:tc>
        <w:tc>
          <w:tcPr>
            <w:tcW w:type="dxa" w:w="5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251.223 estrellas, 51.516 forks, 880 issues abiertos y 579 pull requests abiertos; lenguaje principal JavaScript (datos obtenidos en vivo de la API de GitHub). (23 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¿Qué método HTTP y endpoint se usan para crear un issue, qué campo es obligatorio y cuántos issues abiertos tiene hoy facebook/react?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Documentación + repositorio en vivo</w:t>
            </w:r>
          </w:p>
        </w:tc>
        <w:tc>
          <w:tcPr>
            <w:tcW w:type="dxa" w:w="5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POST /repos/{owner}/{repo}/issues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el campo obligatorio 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title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[Fuente: 03_issues_y_etiquetas.md]. El repositorio tiene actualmente 880 issues abiertos (datos en vivo). (56 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Según la documentación, ¿qué endpoint se usa para crear un webhook en un repositorio?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Documentación (RAG)</w:t>
            </w:r>
          </w:p>
        </w:tc>
        <w:tc>
          <w:tcPr>
            <w:tcW w:type="dxa" w:w="5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documentación del corpus no contiene información sobre un endpoint para crear un webhook en un repositorio. (33 s)</w:t>
            </w:r>
          </w:p>
        </w:tc>
      </w:tr>
    </w:tbl>
    <w:p>
      <w:pPr>
        <w:pBdr>
          <w:bottom w:val="single" w:color="BFBFBF" w:sz="4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Conclusiones</w:t>
      </w:r>
    </w:p>
    <w:p>
      <w:pPr>
        <w:spacing w:after="60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 pipeline completo (corpus → búsqueda híbrida → agente con tres herramientas) se ejecuta sin errores con un LLM local y responde correctamente las cinco consultas de prueba, incluida la que está fuera del corpus. Tres decisiones surgieron de analizar errores reales de versiones anteriores. Los chunks pasaron a ser de sección completa, porque con 800 caracteres se partía la tabla de cabeceras. La búsqueda pasó a ser híbrida, porque la sólo semántica no recuperaba "Crear un Issue" y el agente afirmó que </w:t>
      </w:r>
      <w:r>
        <w:rPr>
          <w:rFonts w:ascii="Consolas" w:cs="Consolas" w:eastAsia="Consolas" w:hAnsi="Consolas"/>
          <w:sz w:val="18"/>
          <w:szCs w:val="18"/>
        </w:rPr>
        <w:t xml:space="preserve">body</w:t>
      </w:r>
      <w:r>
        <w:rPr>
          <w:rFonts w:ascii="Calibri" w:cs="Calibri" w:eastAsia="Calibri" w:hAnsi="Calibri"/>
          <w:sz w:val="19"/>
          <w:szCs w:val="19"/>
        </w:rPr>
        <w:t xml:space="preserve"> era obligatorio. Y se agregaron instrucciones explícitas contra la alucinación, porque el agente inventaba un endpoint de webhooks.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Limitaciones:</w:t>
      </w:r>
      <w:r>
        <w:rPr>
          <w:rFonts w:ascii="Calibri" w:cs="Calibri" w:eastAsia="Calibri" w:hAnsi="Calibri"/>
          <w:sz w:val="19"/>
          <w:szCs w:val="19"/>
        </w:rPr>
        <w:t xml:space="preserve"> latencia de 20 a 90 s por consulta en CPU; corpus acotado a cuatro áreas de la API; respuestas a veces parciales del modelo de 7B (en la pregunta 2 menciona sólo el código 429, aunque la documentación indica 403 o 429).</w:t>
      </w:r>
    </w:p>
    <w:sectPr>
      <w:footerReference w:type="default" r:id="rId7"/>
      <w:pgSz w:w="11906" w:h="16838" w:orient="portrait"/>
      <w:pgMar w:top="964" w:right="1021" w:bottom="96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TP2 – Agente RAG</dc:title>
  <dc:creator>Grupo TP2</dc:creator>
  <cp:lastModifiedBy>Un-named</cp:lastModifiedBy>
  <cp:revision>1</cp:revision>
  <dcterms:created xsi:type="dcterms:W3CDTF">2026-10-18T01:46:18.254Z</dcterms:created>
  <dcterms:modified xsi:type="dcterms:W3CDTF">2026-10-18T01:46:18.254Z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