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color w:val="002060"/>
          <w:sz w:val="46"/>
          <w:szCs w:val="46"/>
        </w:rPr>
      </w:pPr>
      <w:bookmarkStart w:colFirst="0" w:colLast="0" w:name="_gow79uonie4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6"/>
          <w:szCs w:val="46"/>
          <w:rtl w:val="0"/>
        </w:rPr>
        <w:t xml:space="preserve">Parte I: Familiarizandonos con la base EPH y limpieza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El INDEC identifica la desocupación </w:t>
      </w:r>
      <w:r w:rsidDel="00000000" w:rsidR="00000000" w:rsidRPr="00000000">
        <w:rPr>
          <w:rtl w:val="0"/>
        </w:rPr>
        <w:t xml:space="preserve">mediante la Encuesta Permanente de Hogares (EPH)</w:t>
      </w:r>
      <w:r w:rsidDel="00000000" w:rsidR="00000000" w:rsidRPr="00000000">
        <w:rPr>
          <w:rtl w:val="0"/>
        </w:rPr>
        <w:t xml:space="preserve">. Esta encuesta, recaba información sobre la población adulta, incluyendo datos sobre su situación laboral, características demográficas y socioeconómicas. Dentro de la EPH, se considera desocupado a quien no ha trabajado en el período de referencia, está disponible para trabajar y ha buscado activamente empleo.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</w:t>
        <w:tab/>
        <w:t xml:space="preserve">Para el año 2024: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Las variables con más valores faltantes son: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PP3E_TOT (Ingreso de la ocupación principal): 665 valores faltantes (46.77%)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PP04D_COD (Código de ocupación): 665 valores faltantes (46.77%)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PP04B_COD (Código de actividad): 665 valores faltantes (46.77%)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P47T (Ingreso total): 6 valores faltantes (0.42%)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Para el año 2004: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No se encontraron valores faltantes en ninguna de las variables seleccionadas.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 variables relacionadas con ingresos y ocupación en 2024 (PP3E_TOT, PP04D_COD, PP04B_COD) tienen un alto porcentaje de valores faltantes (46.77%), lo que podría afectar significativamente los análisis relacionados con ingresos y ocupación.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ingreso total (P47T) en 2024 tiene muy pocos valores faltantes (solo 6 casos, 0.42%).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notable que 2004 no presenta valores faltantes, lo que sugiere que la base de ese año podría haber tenido un tratamiento previo de los datos faltantes o un mejor proceso de recolección de datos.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 variables demográficas básicas (como CH04, CH03, etc.) están completas en ambos años.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Valores sin sentido encontrados: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 Variable P21 (Horas trabajadas):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2004: valores entre 0 y 10000 horas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2024: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encuentran valores negativos (mínimo -9)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horas trabajadas no pueden ser negativas ni exceder valores razonables (una semana tiene 168 horas)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 Variables de Ingreso (ITF, IPCF, P47T, PP3E_TOT):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P47T (Ingreso total):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2024: presenta valores negativos (mínimo -9)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 valores negativos: se eliminaron porque: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 horas trabajadas no pueden ser negativas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 ingresos no pueden ser negativos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Horas trabajadas excesivas: Se limitaron a 168 horas semanales porque: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el máximo físicamente posible (7 días × 24 horas)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Valores superiores son claramente errores de registro</w:t>
        <w:br w:type="textWrapping"/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color w:val="002060"/>
          <w:sz w:val="46"/>
          <w:szCs w:val="46"/>
        </w:rPr>
      </w:pPr>
      <w:bookmarkStart w:colFirst="0" w:colLast="0" w:name="_u6fnlyyhcch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6"/>
          <w:szCs w:val="46"/>
          <w:rtl w:val="0"/>
        </w:rPr>
        <w:t xml:space="preserve">Parte II: Primer Análisis Exploratorio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Año 2004: Diferencia de 8.8 puntos porcentuales a favor de las mujeres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Año 2024: Diferencia de 6.2 puntos porcentuales a favor de las mujeres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Cambios entre 2004 y 2024: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proporción de mujeres disminuyó levemente (1.3 puntos porcentuales)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observa una tendencia hacia un mayor equilibrio entre géneros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conclusión, en ambos años se mantiene una mayoría femenina y la brecha de género se redujo ligeramente en el período de 20 años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5025751</wp:posOffset>
            </wp:positionV>
            <wp:extent cx="4548188" cy="383937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839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