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before="1440" w:after="0"/>
        <w:ind w:left="0" w:right="0"/>
        <w:jc w:val="center"/>
      </w:pPr>
      <w:r>
        <w:rPr>
          <w:rFonts w:ascii="Arial" w:cs="Arial" w:eastAsia="Arial" w:hAnsi="Arial"/>
          <w:b/>
          <w:bCs/>
          <w:color w:val="FFFFFF"/>
          <w:sz w:val="80"/>
          <w:szCs w:val="80"/>
        </w:rPr>
        <w:t xml:space="preserve">LA GUÍA DEFINITIVA DEL NOC</w:t>
      </w:r>
    </w:p>
    <w:p>
      <w:pPr>
        <w:shd w:fill="0D2137" w:val="clear"/>
        <w:spacing w:before="0" w:after="0"/>
        <w:jc w:val="center"/>
      </w:pPr>
      <w:r>
        <w:rPr>
          <w:rFonts w:ascii="Arial" w:cs="Arial" w:eastAsia="Arial" w:hAnsi="Arial"/>
          <w:i/>
          <w:iCs/>
          <w:color w:val="4A9EE0"/>
          <w:sz w:val="36"/>
          <w:szCs w:val="36"/>
        </w:rPr>
        <w:t xml:space="preserve">De Operador NOC a Staff SRE en Sistemas de Pagos Globales</w:t>
      </w:r>
    </w:p>
    <w:p>
      <w:pPr>
        <w:shd w:fill="0D2137" w:val="clear"/>
        <w:spacing w:before="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4A9EE0" w:sz="4"/>
              <w:left w:val="single" w:color="4A9EE0" w:sz="4"/>
              <w:bottom w:val="single" w:color="4A9EE0" w:sz="4"/>
              <w:right w:val="single" w:color="4A9EE0" w:sz="4"/>
            </w:tcBorders>
            <w:shd w:fill="1A3A5C" w:val="clear"/>
            <w:tcMar>
              <w:top w:type="dxa" w:w="200"/>
              <w:left w:type="dxa" w:w="180"/>
              <w:bottom w:type="dxa" w:w="200"/>
              <w:right w:type="dxa" w:w="180"/>
            </w:tcMar>
            <w:vAlign w:val="center"/>
          </w:tcPr>
          <w:p>
            <w:pPr>
              <w:spacing w:after="40"/>
              <w:jc w:val="center"/>
            </w:pPr>
            <w:r>
              <w:rPr>
                <w:rFonts w:ascii="Arial" w:cs="Arial" w:eastAsia="Arial" w:hAnsi="Arial"/>
                <w:b/>
                <w:bCs/>
                <w:color w:val="FFFFFF"/>
                <w:sz w:val="44"/>
                <w:szCs w:val="44"/>
              </w:rPr>
              <w:t xml:space="preserve">ISO 8583</w:t>
            </w:r>
          </w:p>
          <w:p>
            <w:pPr>
              <w:spacing w:after="0"/>
              <w:jc w:val="center"/>
            </w:pPr>
            <w:r>
              <w:rPr>
                <w:rFonts w:ascii="Arial" w:cs="Arial" w:eastAsia="Arial" w:hAnsi="Arial"/>
                <w:color w:val="4A9EE0"/>
                <w:sz w:val="20"/>
                <w:szCs w:val="20"/>
              </w:rPr>
              <w:t xml:space="preserve">Protocolo de Pagos</w:t>
            </w:r>
          </w:p>
        </w:tc>
        <w:tc>
          <w:tcPr>
            <w:tcW w:type="dxa" w:w="3120"/>
            <w:tcBorders>
              <w:top w:val="single" w:color="4A9EE0" w:sz="4"/>
              <w:left w:val="single" w:color="4A9EE0" w:sz="4"/>
              <w:bottom w:val="single" w:color="4A9EE0" w:sz="4"/>
              <w:right w:val="single" w:color="4A9EE0" w:sz="4"/>
            </w:tcBorders>
            <w:shd w:fill="1A3A5C" w:val="clear"/>
            <w:tcMar>
              <w:top w:type="dxa" w:w="200"/>
              <w:left w:type="dxa" w:w="180"/>
              <w:bottom w:type="dxa" w:w="200"/>
              <w:right w:type="dxa" w:w="180"/>
            </w:tcMar>
            <w:vAlign w:val="center"/>
          </w:tcPr>
          <w:p>
            <w:pPr>
              <w:spacing w:after="40"/>
              <w:jc w:val="center"/>
            </w:pPr>
            <w:r>
              <w:rPr>
                <w:rFonts w:ascii="Arial" w:cs="Arial" w:eastAsia="Arial" w:hAnsi="Arial"/>
                <w:b/>
                <w:bCs/>
                <w:color w:val="FFFFFF"/>
                <w:sz w:val="44"/>
                <w:szCs w:val="44"/>
              </w:rPr>
              <w:t xml:space="preserve">99.99%</w:t>
            </w:r>
          </w:p>
          <w:p>
            <w:pPr>
              <w:spacing w:after="0"/>
              <w:jc w:val="center"/>
            </w:pPr>
            <w:r>
              <w:rPr>
                <w:rFonts w:ascii="Arial" w:cs="Arial" w:eastAsia="Arial" w:hAnsi="Arial"/>
                <w:color w:val="4A9EE0"/>
                <w:sz w:val="20"/>
                <w:szCs w:val="20"/>
              </w:rPr>
              <w:t xml:space="preserve">Disponibilidad Target</w:t>
            </w:r>
          </w:p>
        </w:tc>
        <w:tc>
          <w:tcPr>
            <w:tcW w:type="dxa" w:w="3120"/>
            <w:tcBorders>
              <w:top w:val="single" w:color="4A9EE0" w:sz="4"/>
              <w:left w:val="single" w:color="4A9EE0" w:sz="4"/>
              <w:bottom w:val="single" w:color="4A9EE0" w:sz="4"/>
              <w:right w:val="single" w:color="4A9EE0" w:sz="4"/>
            </w:tcBorders>
            <w:shd w:fill="1A3A5C" w:val="clear"/>
            <w:tcMar>
              <w:top w:type="dxa" w:w="200"/>
              <w:left w:type="dxa" w:w="180"/>
              <w:bottom w:type="dxa" w:w="200"/>
              <w:right w:type="dxa" w:w="180"/>
            </w:tcMar>
            <w:vAlign w:val="center"/>
          </w:tcPr>
          <w:p>
            <w:pPr>
              <w:spacing w:after="40"/>
              <w:jc w:val="center"/>
            </w:pPr>
            <w:r>
              <w:rPr>
                <w:rFonts w:ascii="Arial" w:cs="Arial" w:eastAsia="Arial" w:hAnsi="Arial"/>
                <w:b/>
                <w:bCs/>
                <w:color w:val="FFFFFF"/>
                <w:sz w:val="44"/>
                <w:szCs w:val="44"/>
              </w:rPr>
              <w:t xml:space="preserve">24 Meses</w:t>
            </w:r>
          </w:p>
          <w:p>
            <w:pPr>
              <w:spacing w:after="0"/>
              <w:jc w:val="center"/>
            </w:pPr>
            <w:r>
              <w:rPr>
                <w:rFonts w:ascii="Arial" w:cs="Arial" w:eastAsia="Arial" w:hAnsi="Arial"/>
                <w:color w:val="4A9EE0"/>
                <w:sz w:val="20"/>
                <w:szCs w:val="20"/>
              </w:rPr>
              <w:t xml:space="preserve">Roadmap a Staff SRE</w:t>
            </w:r>
          </w:p>
        </w:tc>
      </w:tr>
    </w:tbl>
    <w:p>
      <w:pPr>
        <w:shd w:fill="0D2137" w:val="clear"/>
        <w:spacing w:before="0" w:after="1440"/>
      </w:pPr>
      <w:r>
        <w:t xml:space="preserve"/>
      </w:r>
    </w:p>
    <w:p>
      <w:r>
        <w:br w:type="page"/>
      </w:r>
    </w:p>
    <w:p>
      <w:pPr>
        <w:shd w:fill="0D2137" w:val="clear"/>
        <w:spacing w:before="480" w:after="120"/>
        <w:ind w:left="360"/>
        <w:rPr>
          <w:color w:val="FFFFFF"/>
        </w:rPr>
      </w:pPr>
      <w:r>
        <w:rPr>
          <w:rFonts w:ascii="Arial" w:cs="Arial" w:eastAsia="Arial" w:hAnsi="Arial"/>
          <w:b/>
          <w:bCs/>
          <w:color w:val="FFFFFF"/>
          <w:sz w:val="52"/>
          <w:szCs w:val="52"/>
        </w:rPr>
        <w:t xml:space="preserve">CAPÍTULO 1: El Ecosistema de Pagos</w:t>
      </w:r>
    </w:p>
    <w:p>
      <w:pPr>
        <w:spacing w:after="80"/>
      </w:pPr>
      <w:r>
        <w:t xml:space="preserve"/>
      </w:r>
    </w:p>
    <w:p>
      <w:pPr>
        <w:spacing w:after="200"/>
        <w:jc w:val="both"/>
      </w:pPr>
      <w:r>
        <w:rPr>
          <w:rFonts w:ascii="Arial" w:cs="Arial" w:eastAsia="Arial" w:hAnsi="Arial"/>
          <w:color w:val="1A2332"/>
          <w:sz w:val="22"/>
          <w:szCs w:val="22"/>
        </w:rPr>
        <w:t xml:space="preserve">Como SRE en pagos, no solo operamos máquinas: operamos dinero en movimiento. La confiabilidad no termina en nuestro data center; se extiende a través de toda la cadena de procesamiento.</w:t>
      </w:r>
    </w:p>
    <w:p>
      <w:pPr>
        <w:pStyle w:val="Heading2"/>
        <w:pBdr>
          <w:bottom w:val="single" w:color="2D7DD2" w:sz="6" w:space="4"/>
        </w:pBdr>
        <w:spacing w:before="360" w:after="160"/>
      </w:pPr>
      <w:r>
        <w:rPr>
          <w:rFonts w:ascii="Arial" w:cs="Arial" w:eastAsia="Arial" w:hAnsi="Arial"/>
          <w:b/>
          <w:bCs/>
          <w:color w:val="0D2137"/>
          <w:sz w:val="36"/>
          <w:szCs w:val="36"/>
        </w:rPr>
        <w:t xml:space="preserve">Los Actores del Ecosistema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single" w:color="2D7DD2"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2D7DD2"/>
                <w:sz w:val="22"/>
                <w:szCs w:val="22"/>
              </w:rPr>
              <w:t xml:space="preserve">CLIENTE</w:t>
            </w:r>
          </w:p>
          <w:p>
            <w:pPr>
              <w:spacing w:after="0"/>
            </w:pPr>
            <w:r>
              <w:rPr>
                <w:rFonts w:ascii="Arial" w:cs="Arial" w:eastAsia="Arial" w:hAnsi="Arial"/>
                <w:color w:val="34495E"/>
                <w:sz w:val="20"/>
                <w:szCs w:val="20"/>
              </w:rPr>
              <w:t xml:space="preserve">Titular de la tarjeta que inicia la transacción en el comercio.</w:t>
            </w:r>
          </w:p>
        </w:tc>
        <w:tc>
          <w:tcPr>
            <w:tcW w:type="dxa" w:w="3120"/>
            <w:tcBorders>
              <w:top w:val="none" w:color="FFFFFF" w:sz="0"/>
              <w:left w:val="single" w:color="27AE60"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27AE60"/>
                <w:sz w:val="22"/>
                <w:szCs w:val="22"/>
              </w:rPr>
              <w:t xml:space="preserve">COMERCIO</w:t>
            </w:r>
          </w:p>
          <w:p>
            <w:pPr>
              <w:spacing w:after="0"/>
            </w:pPr>
            <w:r>
              <w:rPr>
                <w:rFonts w:ascii="Arial" w:cs="Arial" w:eastAsia="Arial" w:hAnsi="Arial"/>
                <w:color w:val="34495E"/>
                <w:sz w:val="20"/>
                <w:szCs w:val="20"/>
              </w:rPr>
              <w:t xml:space="preserve">Establecimiento que acepta el pago mediante terminal POS o e-commerce.</w:t>
            </w:r>
          </w:p>
        </w:tc>
        <w:tc>
          <w:tcPr>
            <w:tcW w:type="dxa" w:w="3120"/>
            <w:tcBorders>
              <w:top w:val="none" w:color="FFFFFF" w:sz="0"/>
              <w:left w:val="single" w:color="E67E22"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E67E22"/>
                <w:sz w:val="22"/>
                <w:szCs w:val="22"/>
              </w:rPr>
              <w:t xml:space="preserve">ADQUIRENTE</w:t>
            </w:r>
          </w:p>
          <w:p>
            <w:pPr>
              <w:spacing w:after="0"/>
            </w:pPr>
            <w:r>
              <w:rPr>
                <w:rFonts w:ascii="Arial" w:cs="Arial" w:eastAsia="Arial" w:hAnsi="Arial"/>
                <w:color w:val="34495E"/>
                <w:sz w:val="20"/>
                <w:szCs w:val="20"/>
              </w:rPr>
              <w:t xml:space="preserve">Procesa pagos en nombre del comercio y conecta con la red de pago.</w:t>
            </w:r>
          </w:p>
        </w:tc>
      </w:tr>
    </w:tbl>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single" w:color="1A3A5C"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1A3A5C"/>
                <w:sz w:val="22"/>
                <w:szCs w:val="22"/>
              </w:rPr>
              <w:t xml:space="preserve">RED (Visa / Mastercard)</w:t>
            </w:r>
          </w:p>
          <w:p>
            <w:pPr>
              <w:spacing w:after="0"/>
            </w:pPr>
            <w:r>
              <w:rPr>
                <w:rFonts w:ascii="Arial" w:cs="Arial" w:eastAsia="Arial" w:hAnsi="Arial"/>
                <w:color w:val="34495E"/>
                <w:sz w:val="20"/>
                <w:szCs w:val="20"/>
              </w:rPr>
              <w:t xml:space="preserve">Autopista global que enruta mensajes entre adquirente y emisor.</w:t>
            </w:r>
          </w:p>
        </w:tc>
        <w:tc>
          <w:tcPr>
            <w:tcW w:type="dxa" w:w="3120"/>
            <w:tcBorders>
              <w:top w:val="none" w:color="FFFFFF" w:sz="0"/>
              <w:left w:val="single" w:color="F39C12"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F39C12"/>
                <w:sz w:val="22"/>
                <w:szCs w:val="22"/>
              </w:rPr>
              <w:t xml:space="preserve">EMISOR</w:t>
            </w:r>
          </w:p>
          <w:p>
            <w:pPr>
              <w:spacing w:after="0"/>
            </w:pPr>
            <w:r>
              <w:rPr>
                <w:rFonts w:ascii="Arial" w:cs="Arial" w:eastAsia="Arial" w:hAnsi="Arial"/>
                <w:color w:val="34495E"/>
                <w:sz w:val="20"/>
                <w:szCs w:val="20"/>
              </w:rPr>
              <w:t xml:space="preserve">Banco que emite la tarjeta y autoriza la transacción del cliente.</w:t>
            </w:r>
          </w:p>
        </w:tc>
        <w:tc>
          <w:tcPr>
            <w:tcW w:type="dxa" w:w="3120"/>
            <w:tcBorders>
              <w:top w:val="none" w:color="FFFFFF" w:sz="0"/>
              <w:left w:val="single" w:color="7F8C8D"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7F8C8D"/>
                <w:sz w:val="22"/>
                <w:szCs w:val="22"/>
              </w:rPr>
              <w:t xml:space="preserve">PROCESADOR / GATEWAY</w:t>
            </w:r>
          </w:p>
          <w:p>
            <w:pPr>
              <w:spacing w:after="0"/>
            </w:pPr>
            <w:r>
              <w:rPr>
                <w:rFonts w:ascii="Arial" w:cs="Arial" w:eastAsia="Arial" w:hAnsi="Arial"/>
                <w:color w:val="34495E"/>
                <w:sz w:val="20"/>
                <w:szCs w:val="20"/>
              </w:rPr>
              <w:t xml:space="preserve">Intermediario o pasarela que traduce protocolos y agrega seguridad (3DS).</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Acrónimos Críticos que Todo NOC debe Dominar</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1800"/>
        <w:gridCol w:w="2600"/>
        <w:gridCol w:w="4960"/>
      </w:tblGrid>
      <w:tr>
        <w:tc>
          <w:tcPr>
            <w:tcW w:type="dxa" w:w="18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Categoría</w:t>
            </w:r>
          </w:p>
        </w:tc>
        <w:tc>
          <w:tcPr>
            <w:tcW w:type="dxa" w:w="26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Acrónimo</w:t>
            </w:r>
          </w:p>
        </w:tc>
        <w:tc>
          <w:tcPr>
            <w:tcW w:type="dxa" w:w="496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Significado</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Identificadores</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PAN</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Primary Account Number — número de cuenta principal</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BIN</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Bank Identification Number — identifica al emisor (primeros 6 dígitos)</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STAN</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Systems Trace Audit Number — número de auditoría de traza</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RRN</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Retrieval Reference Number — número de referencia de recuperación</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Autenticación</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ARQC</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Authorisation Request Cryptogram — código de autenticación de solicitud</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ATC</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Application Transaction Counter — contador de transacciones</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TVR</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Terminal Verification Results — valor de verificación de terminal</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Procesamiento</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MTI</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Message Type Indicator — tipo de mensaje ISO 8583</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DE</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Data Element — campo de datos en ISO 8583</w:t>
            </w:r>
          </w:p>
        </w:tc>
      </w:tr>
      <w:tr>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STIP</w:t>
            </w:r>
          </w:p>
        </w:tc>
        <w:tc>
          <w:tcPr>
            <w:tcW w:type="dxa" w:w="49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Stand-In Processing — procesamiento en modo suplente</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Interfaces Técnicas del Ecosistema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single" w:color="2D7DD2"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2D7DD2"/>
                <w:sz w:val="22"/>
                <w:szCs w:val="22"/>
              </w:rPr>
              <w:t xml:space="preserve">ISO 8583</w:t>
            </w:r>
          </w:p>
          <w:p>
            <w:pPr>
              <w:spacing w:after="0"/>
            </w:pPr>
            <w:r>
              <w:rPr>
                <w:rFonts w:ascii="Arial" w:cs="Arial" w:eastAsia="Arial" w:hAnsi="Arial"/>
                <w:color w:val="34495E"/>
                <w:sz w:val="20"/>
                <w:szCs w:val="20"/>
              </w:rPr>
              <w:t xml:space="preserve">Protocolo binario para autorizaciones en tiempo real entre POS, adquirente, red y emisor.</w:t>
            </w:r>
          </w:p>
        </w:tc>
        <w:tc>
          <w:tcPr>
            <w:tcW w:type="dxa" w:w="3120"/>
            <w:tcBorders>
              <w:top w:val="none" w:color="FFFFFF" w:sz="0"/>
              <w:left w:val="single" w:color="27AE60"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27AE60"/>
                <w:sz w:val="22"/>
                <w:szCs w:val="22"/>
              </w:rPr>
              <w:t xml:space="preserve">Archivos Batch</w:t>
            </w:r>
          </w:p>
          <w:p>
            <w:pPr>
              <w:spacing w:after="0"/>
            </w:pPr>
            <w:r>
              <w:rPr>
                <w:rFonts w:ascii="Arial" w:cs="Arial" w:eastAsia="Arial" w:hAnsi="Arial"/>
                <w:color w:val="34495E"/>
                <w:sz w:val="20"/>
                <w:szCs w:val="20"/>
              </w:rPr>
              <w:t xml:space="preserve">Procesamiento por lotes para clearing y settlement al final del día.</w:t>
            </w:r>
          </w:p>
        </w:tc>
        <w:tc>
          <w:tcPr>
            <w:tcW w:type="dxa" w:w="3120"/>
            <w:tcBorders>
              <w:top w:val="none" w:color="FFFFFF" w:sz="0"/>
              <w:left w:val="single" w:color="E67E22"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E67E22"/>
                <w:sz w:val="22"/>
                <w:szCs w:val="22"/>
              </w:rPr>
              <w:t xml:space="preserve">APIs REST</w:t>
            </w:r>
          </w:p>
          <w:p>
            <w:pPr>
              <w:spacing w:after="0"/>
            </w:pPr>
            <w:r>
              <w:rPr>
                <w:rFonts w:ascii="Arial" w:cs="Arial" w:eastAsia="Arial" w:hAnsi="Arial"/>
                <w:color w:val="34495E"/>
                <w:sz w:val="20"/>
                <w:szCs w:val="20"/>
              </w:rPr>
              <w:t xml:space="preserve">Reporting, consultas y operaciones administrativas para comercios y emisores.</w:t>
            </w:r>
          </w:p>
        </w:tc>
      </w:tr>
    </w:tbl>
    <w:p>
      <w:pPr>
        <w:spacing w:after="300"/>
      </w:pPr>
      <w:r>
        <w:t xml:space="preserve"/>
      </w:r>
    </w:p>
    <w:p>
      <w:r>
        <w:br w:type="page"/>
      </w:r>
    </w:p>
    <w:p>
      <w:pPr>
        <w:shd w:fill="0D2137" w:val="clear"/>
        <w:spacing w:before="480" w:after="120"/>
        <w:ind w:left="360"/>
        <w:rPr>
          <w:color w:val="FFFFFF"/>
        </w:rPr>
      </w:pPr>
      <w:r>
        <w:rPr>
          <w:rFonts w:ascii="Arial" w:cs="Arial" w:eastAsia="Arial" w:hAnsi="Arial"/>
          <w:b/>
          <w:bCs/>
          <w:color w:val="FFFFFF"/>
          <w:sz w:val="52"/>
          <w:szCs w:val="52"/>
        </w:rPr>
        <w:t xml:space="preserve">CAPÍTULO 2: ISO 8583 Operativo Real</w:t>
      </w:r>
    </w:p>
    <w:p>
      <w:pPr>
        <w:spacing w:after="80"/>
      </w:pPr>
      <w:r>
        <w:t xml:space="preserve"/>
      </w:r>
    </w:p>
    <w:p>
      <w:pPr>
        <w:spacing w:after="180"/>
        <w:jc w:val="both"/>
      </w:pPr>
      <w:r>
        <w:rPr>
          <w:rFonts w:ascii="Arial" w:cs="Arial" w:eastAsia="Arial" w:hAnsi="Arial"/>
          <w:color w:val="1A2332"/>
          <w:sz w:val="22"/>
          <w:szCs w:val="22"/>
        </w:rPr>
        <w:t xml:space="preserve">ISO 8583 es el latín de los pagos. No necesitas ser un cardador de mainframe, pero debes poder leer un mensaje hexdump como si fuera un libro abierto durante un incidente.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D7DD2" w:sz="20"/>
              <w:bottom w:val="none" w:color="FFFFFF" w:sz="0"/>
              <w:right w:val="none" w:color="FFFFFF" w:sz="0"/>
            </w:tcBorders>
            <w:shd w:fill="EBF4FB" w:val="clear"/>
            <w:tcMar>
              <w:top w:type="dxa" w:w="120"/>
              <w:left w:type="dxa" w:w="240"/>
              <w:bottom w:type="dxa" w:w="120"/>
              <w:right w:type="dxa" w:w="240"/>
            </w:tcMar>
          </w:tcPr>
          <w:p>
            <w:pPr>
              <w:spacing w:after="0"/>
            </w:pPr>
            <w:r>
              <w:rPr>
                <w:rFonts w:ascii="Arial" w:cs="Arial" w:eastAsia="Arial" w:hAnsi="Arial"/>
                <w:b/>
                <w:bCs/>
                <w:color w:val="2D7DD2"/>
                <w:sz w:val="22"/>
                <w:szCs w:val="22"/>
              </w:rPr>
              <w:t xml:space="preserve">📋  </w:t>
            </w:r>
            <w:r>
              <w:rPr>
                <w:rFonts w:ascii="Arial" w:cs="Arial" w:eastAsia="Arial" w:hAnsi="Arial"/>
                <w:i/>
                <w:iCs/>
                <w:color w:val="1A2332"/>
                <w:sz w:val="22"/>
                <w:szCs w:val="22"/>
              </w:rPr>
              <w:t xml:space="preserve">Un mensaje tiene tres partes: MTI (Message Type Indicator) → Bitmap(s) → Data Elements</w:t>
            </w:r>
          </w:p>
        </w:tc>
      </w:tr>
    </w:tbl>
    <w:p>
      <w:pPr>
        <w:spacing w:after="16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Anatomía de un Mensaje ISO 8583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E2D3D" w:val="clear"/>
            <w:tcMar>
              <w:top w:type="dxa" w:w="180"/>
              <w:left w:type="dxa" w:w="240"/>
              <w:bottom w:type="dxa" w:w="180"/>
              <w:right w:type="dxa" w:w="240"/>
            </w:tcMar>
          </w:tcPr>
          <w:p>
            <w:pPr>
              <w:spacing w:after="40"/>
            </w:pPr>
            <w:r>
              <w:rPr>
                <w:rFonts w:ascii="Courier New" w:cs="Courier New" w:eastAsia="Courier New" w:hAnsi="Courier New"/>
                <w:color w:val="7EC8E3"/>
                <w:sz w:val="18"/>
                <w:szCs w:val="18"/>
              </w:rPr>
              <w:t xml:space="preserve">0200  7020800000000000  16  4543123456789012  001000  000000001500  0626123045  123456</w:t>
            </w:r>
          </w:p>
          <w:p>
            <w:pPr>
              <w:spacing w:after="40"/>
            </w:pPr>
            <w:r>
              <w:rPr>
                <w:rFonts w:ascii="Courier New" w:cs="Courier New" w:eastAsia="Courier New" w:hAnsi="Courier New"/>
                <w:color w:val="7EC8E3"/>
                <w:sz w:val="18"/>
                <w:szCs w:val="18"/>
              </w:rPr>
              <w:t xml:space="preserve"> |         |            |          |            |           |            |          |</w:t>
            </w:r>
          </w:p>
          <w:p>
            <w:pPr>
              <w:spacing w:after="40"/>
            </w:pPr>
            <w:r>
              <w:rPr>
                <w:rFonts w:ascii="Courier New" w:cs="Courier New" w:eastAsia="Courier New" w:hAnsi="Courier New"/>
                <w:color w:val="7EC8E3"/>
                <w:sz w:val="18"/>
                <w:szCs w:val="18"/>
              </w:rPr>
              <w:t xml:space="preserve"> |         |            |          |            |           |        DE 7: Fecha    |</w:t>
            </w:r>
          </w:p>
          <w:p>
            <w:pPr>
              <w:spacing w:after="40"/>
            </w:pPr>
            <w:r>
              <w:rPr>
                <w:rFonts w:ascii="Courier New" w:cs="Courier New" w:eastAsia="Courier New" w:hAnsi="Courier New"/>
                <w:color w:val="7EC8E3"/>
                <w:sz w:val="18"/>
                <w:szCs w:val="18"/>
              </w:rPr>
              <w:t xml:space="preserve"> |         |            |          |            |       DE 4: Monto ($15.00)         |</w:t>
            </w:r>
          </w:p>
          <w:p>
            <w:pPr>
              <w:spacing w:after="40"/>
            </w:pPr>
            <w:r>
              <w:rPr>
                <w:rFonts w:ascii="Courier New" w:cs="Courier New" w:eastAsia="Courier New" w:hAnsi="Courier New"/>
                <w:color w:val="7EC8E3"/>
                <w:sz w:val="18"/>
                <w:szCs w:val="18"/>
              </w:rPr>
              <w:t xml:space="preserve"> |         |            |      DE 2: PAN        |                             DE 11: STAN</w:t>
            </w:r>
          </w:p>
          <w:p>
            <w:pPr>
              <w:spacing w:after="40"/>
            </w:pPr>
            <w:r>
              <w:rPr>
                <w:rFonts w:ascii="Courier New" w:cs="Courier New" w:eastAsia="Courier New" w:hAnsi="Courier New"/>
                <w:color w:val="7EC8E3"/>
                <w:sz w:val="18"/>
                <w:szCs w:val="18"/>
              </w:rPr>
              <w:t xml:space="preserve"> |         |            |                  DE 3: Código Proc. (001000 = compra)</w:t>
            </w:r>
          </w:p>
          <w:p>
            <w:pPr>
              <w:spacing w:after="40"/>
            </w:pPr>
            <w:r>
              <w:rPr>
                <w:rFonts w:ascii="Courier New" w:cs="Courier New" w:eastAsia="Courier New" w:hAnsi="Courier New"/>
                <w:color w:val="7EC8E3"/>
                <w:sz w:val="18"/>
                <w:szCs w:val="18"/>
              </w:rPr>
              <w:t xml:space="preserve"> |    Bitmap primario (70 20 80 00...)</w:t>
            </w:r>
          </w:p>
          <w:p>
            <w:pPr>
              <w:spacing w:after="40"/>
            </w:pPr>
            <w:r>
              <w:rPr>
                <w:rFonts w:ascii="Courier New" w:cs="Courier New" w:eastAsia="Courier New" w:hAnsi="Courier New"/>
                <w:color w:val="7EC8E3"/>
                <w:sz w:val="18"/>
                <w:szCs w:val="18"/>
              </w:rPr>
              <w:t xml:space="preserve"> MTI: 0200 = Solicitud de Autorización</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Códigos de Respuesta DE39 — Referencia Completa</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1000"/>
        <w:gridCol w:w="1800"/>
        <w:gridCol w:w="6560"/>
      </w:tblGrid>
      <w:tr>
        <w:tc>
          <w:tcPr>
            <w:tcW w:type="dxa" w:w="10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Código</w:t>
            </w:r>
          </w:p>
        </w:tc>
        <w:tc>
          <w:tcPr>
            <w:tcW w:type="dxa" w:w="18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w:t>
            </w:r>
          </w:p>
        </w:tc>
        <w:tc>
          <w:tcPr>
            <w:tcW w:type="dxa" w:w="656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Significado Operativo</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00</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Aprobado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Transacción autorizada exitosamente</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05</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Rechazado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No honrar — decisión del emisor</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14</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Rechazado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Formato de tarjeta inválido</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41</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Alerta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Tarjeta perdida — bloqueo inmediato</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43</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Alerta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Tarjeta robada — alerta de seguridad</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51</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Rechazado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Fondos insuficientes en cuenta</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54</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Rechazado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Tarjeta vencida — renovación necesaria</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57</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Rechazado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Transacción no permitida al titular</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61</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Rechazado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Límite de monto excedido</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68</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Timeout</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Respuesta tardía — timeout de red</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75</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Rechazado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Límite de reintentos alcanzado</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81</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Seguridad</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MAC inválido — firma corrupta</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85</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Normal</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No hay acción — estado normal</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90</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Temporal</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Corte en curso — procesamiento temporal</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91</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Retry</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Emisor no disponible — reintentar</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94</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Duplicado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Duplicado — transacción repetida</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95</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Reverso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Reembolso completado — reverso exitoso</w:t>
            </w:r>
          </w:p>
        </w:tc>
      </w:tr>
      <w:tr>
        <w:tc>
          <w:tcPr>
            <w:tcW w:type="dxa" w:w="1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96</w:t>
            </w:r>
          </w:p>
        </w:tc>
        <w:tc>
          <w:tcPr>
            <w:tcW w:type="dxa" w:w="1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Sistema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Mal funcionamiento — error del sistema</w:t>
            </w:r>
          </w:p>
        </w:tc>
      </w:tr>
    </w:tbl>
    <w:p>
      <w:pPr>
        <w:spacing w:after="300"/>
      </w:pPr>
      <w:r>
        <w:t xml:space="preserve"/>
      </w:r>
    </w:p>
    <w:p>
      <w:r>
        <w:br w:type="page"/>
      </w:r>
    </w:p>
    <w:p>
      <w:pPr>
        <w:shd w:fill="0D2137" w:val="clear"/>
        <w:spacing w:before="480" w:after="120"/>
        <w:ind w:left="360"/>
        <w:rPr>
          <w:color w:val="FFFFFF"/>
        </w:rPr>
      </w:pPr>
      <w:r>
        <w:rPr>
          <w:rFonts w:ascii="Arial" w:cs="Arial" w:eastAsia="Arial" w:hAnsi="Arial"/>
          <w:b/>
          <w:bCs/>
          <w:color w:val="FFFFFF"/>
          <w:sz w:val="52"/>
          <w:szCs w:val="52"/>
        </w:rPr>
        <w:t xml:space="preserve">CAPÍTULO 3: Arquitectura de Alta Disponibilidad</w:t>
      </w:r>
    </w:p>
    <w:p>
      <w:pPr>
        <w:spacing w:after="80"/>
      </w:pPr>
      <w:r>
        <w:t xml:space="preserve"/>
      </w:r>
    </w:p>
    <w:p>
      <w:pPr>
        <w:spacing w:after="200"/>
        <w:jc w:val="both"/>
      </w:pPr>
      <w:r>
        <w:rPr>
          <w:rFonts w:ascii="Arial" w:cs="Arial" w:eastAsia="Arial" w:hAnsi="Arial"/>
          <w:color w:val="1A2332"/>
          <w:sz w:val="22"/>
          <w:szCs w:val="22"/>
        </w:rPr>
        <w:t xml:space="preserve">En pagos, la disponibilidad del 99.99%+ no es un objetivo aspiracional: es un requisito contractual. Aquí no hablamos de réplicas simples; hablamos de arquitecturas geo-distribuidas con conmutación en milisegundos.</w:t>
      </w:r>
    </w:p>
    <w:p>
      <w:pPr>
        <w:pStyle w:val="Heading2"/>
        <w:pBdr>
          <w:bottom w:val="single" w:color="2D7DD2" w:sz="6" w:space="4"/>
        </w:pBdr>
        <w:spacing w:before="360" w:after="160"/>
      </w:pPr>
      <w:r>
        <w:rPr>
          <w:rFonts w:ascii="Arial" w:cs="Arial" w:eastAsia="Arial" w:hAnsi="Arial"/>
          <w:b/>
          <w:bCs/>
          <w:color w:val="0D2137"/>
          <w:sz w:val="36"/>
          <w:szCs w:val="36"/>
        </w:rPr>
        <w:t xml:space="preserve">Active-Active vs. Activo-Pasivo</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 Activo-Pasivo (Tradicional)</w:t>
            </w:r>
          </w:p>
        </w:tc>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 Active-Active Real (Objetivo)</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 Un data center primario maneja todo el tráfico</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 Ambos DCs reciben tráfico simultáneamente</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El secundario está en espera (idle)</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Cada DC tiene apps y bases de datos propias</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Conmutación requiere cambio DNS + migración de BD</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El desafío es mantener estado y consistencia</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Tiempo de failover: MINUTOS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Objetivo de conmutación: MILISEGUNDOS</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INACEPTABLE para pagos de alto valor</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Estándar de la industria para sistemas Tier-1</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Stand-In Processing (STIP) — Flujo Operativo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74C3C"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1</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E74C3C"/>
                <w:sz w:val="24"/>
                <w:szCs w:val="24"/>
              </w:rPr>
              <w:t xml:space="preserve">Timeout de Emisor</w:t>
            </w:r>
          </w:p>
          <w:p>
            <w:pPr>
              <w:spacing w:after="0"/>
            </w:pPr>
            <w:r>
              <w:rPr>
                <w:rFonts w:ascii="Arial" w:cs="Arial" w:eastAsia="Arial" w:hAnsi="Arial"/>
                <w:color w:val="34495E"/>
                <w:sz w:val="21"/>
                <w:szCs w:val="21"/>
              </w:rPr>
              <w:t xml:space="preserve">El emisor no responde en el tiempo esperado (generalmente 2-3 segundos). Se supera el umbral configurado.</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2</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E67E22"/>
                <w:sz w:val="24"/>
                <w:szCs w:val="24"/>
              </w:rPr>
              <w:t xml:space="preserve">Verificar Configuración STIP</w:t>
            </w:r>
          </w:p>
          <w:p>
            <w:pPr>
              <w:spacing w:after="0"/>
            </w:pPr>
            <w:r>
              <w:rPr>
                <w:rFonts w:ascii="Arial" w:cs="Arial" w:eastAsia="Arial" w:hAnsi="Arial"/>
                <w:color w:val="34495E"/>
                <w:sz w:val="21"/>
                <w:szCs w:val="21"/>
              </w:rPr>
              <w:t xml:space="preserve">¿Está habilitado STIP para este BIN? ¿El monto es menor que el límite pre-aprobado? ¿El tipo de transacción está permitido?</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39C12"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3</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F39C12"/>
                <w:sz w:val="24"/>
                <w:szCs w:val="24"/>
              </w:rPr>
              <w:t xml:space="preserve">Aprobar con Riesgo</w:t>
            </w:r>
          </w:p>
          <w:p>
            <w:pPr>
              <w:spacing w:after="0"/>
            </w:pPr>
            <w:r>
              <w:rPr>
                <w:rFonts w:ascii="Arial" w:cs="Arial" w:eastAsia="Arial" w:hAnsi="Arial"/>
                <w:color w:val="34495E"/>
                <w:sz w:val="21"/>
                <w:szCs w:val="21"/>
              </w:rPr>
              <w:t xml:space="preserve">El adquirente asume el riesgo y aprueba la transacción. Se registra en log especial para reconciliación posterior.</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7AE60"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4</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27AE60"/>
                <w:sz w:val="24"/>
                <w:szCs w:val="24"/>
              </w:rPr>
              <w:t xml:space="preserve">Reconciliación</w:t>
            </w:r>
          </w:p>
          <w:p>
            <w:pPr>
              <w:spacing w:after="0"/>
            </w:pPr>
            <w:r>
              <w:rPr>
                <w:rFonts w:ascii="Arial" w:cs="Arial" w:eastAsia="Arial" w:hAnsi="Arial"/>
                <w:color w:val="34495E"/>
                <w:sz w:val="21"/>
                <w:szCs w:val="21"/>
              </w:rPr>
              <w:t xml:space="preserve">Cuando el emisor esté disponible, se valida la transacción, se ajusta el riesgo y se cierra el ciclo.</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Modelo Económico del Downtime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D7DD2" w:sz="20"/>
              <w:bottom w:val="none" w:color="FFFFFF" w:sz="0"/>
              <w:right w:val="none" w:color="FFFFFF" w:sz="0"/>
            </w:tcBorders>
            <w:shd w:fill="EBF4FB" w:val="clear"/>
            <w:tcMar>
              <w:top w:type="dxa" w:w="120"/>
              <w:left w:type="dxa" w:w="240"/>
              <w:bottom w:type="dxa" w:w="120"/>
              <w:right w:type="dxa" w:w="240"/>
            </w:tcMar>
          </w:tcPr>
          <w:p>
            <w:pPr>
              <w:spacing w:after="0"/>
            </w:pPr>
            <w:r>
              <w:rPr>
                <w:rFonts w:ascii="Arial" w:cs="Arial" w:eastAsia="Arial" w:hAnsi="Arial"/>
                <w:b/>
                <w:bCs/>
                <w:color w:val="2D7DD2"/>
                <w:sz w:val="22"/>
                <w:szCs w:val="22"/>
              </w:rPr>
              <w:t xml:space="preserve">💰  </w:t>
            </w:r>
            <w:r>
              <w:rPr>
                <w:rFonts w:ascii="Arial" w:cs="Arial" w:eastAsia="Arial" w:hAnsi="Arial"/>
                <w:i/>
                <w:iCs/>
                <w:color w:val="1A2332"/>
                <w:sz w:val="22"/>
                <w:szCs w:val="22"/>
              </w:rPr>
              <w:t xml:space="preserve">10K TPS × 80% aprobación × $50 × 1.5% comisión = $6,000 USD por minuto de caída. 30 minutos = $180,000 USD.</w:t>
            </w:r>
          </w:p>
        </w:tc>
      </w:tr>
    </w:tbl>
    <w:p>
      <w:pPr>
        <w:spacing w:after="160"/>
      </w:pPr>
      <w:r>
        <w:t xml:space="preserve"/>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340"/>
        <w:gridCol w:w="2340"/>
        <w:gridCol w:w="2340"/>
        <w:gridCol w:w="2340"/>
      </w:tblGrid>
      <w:tr>
        <w:tc>
          <w:tcPr>
            <w:tcW w:type="dxa" w:w="234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Métrica</w:t>
            </w:r>
          </w:p>
        </w:tc>
        <w:tc>
          <w:tcPr>
            <w:tcW w:type="dxa" w:w="234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Valor</w:t>
            </w:r>
          </w:p>
        </w:tc>
        <w:tc>
          <w:tcPr>
            <w:tcW w:type="dxa" w:w="234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Costo/Min (USD)</w:t>
            </w:r>
          </w:p>
        </w:tc>
        <w:tc>
          <w:tcPr>
            <w:tcW w:type="dxa" w:w="234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Costo 30 Min (USD)</w:t>
            </w:r>
          </w:p>
        </w:tc>
      </w:tr>
      <w:tr>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TPS hora pico</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10,000</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$6,000</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$180,000</w:t>
            </w:r>
          </w:p>
        </w:tc>
      </w:tr>
      <w:tr>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Tasa aprobación</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80%</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w:t>
            </w:r>
          </w:p>
        </w:tc>
      </w:tr>
      <w:tr>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Valor prom. tx</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$50 USD</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w:t>
            </w:r>
          </w:p>
        </w:tc>
      </w:tr>
      <w:tr>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Comisión adquirente</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1.5%</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MTBF y MTTR — Cálculo Práctico</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MTBF (Mean Time Between Failures)</w:t>
            </w:r>
          </w:p>
        </w:tc>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MTTR (Mean Time To Recover)</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Tiempo promedio ENTRE fallos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Tiempo promedio PARA recuperar</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Fórmula: Tiempo total operación ÷ N° de fallos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Fórmula: Tiempo total recuperación ÷ N° de fallos</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Ejemplo: 720h operación, 3 fallos → MTBF = 240h</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Ejemplo: 15+30+45 min = 90 min, 3 fallos → MTTR = 30min</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Objetivo Tier-1: MTBF &gt; 2,000 horas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Objetivo Tier-1: MTTR &lt; 15 minutos</w:t>
            </w:r>
          </w:p>
        </w:tc>
      </w:tr>
    </w:tbl>
    <w:p>
      <w:pPr>
        <w:spacing w:after="300"/>
      </w:pPr>
      <w:r>
        <w:t xml:space="preserve"/>
      </w:r>
    </w:p>
    <w:p>
      <w:r>
        <w:br w:type="page"/>
      </w:r>
    </w:p>
    <w:p>
      <w:pPr>
        <w:shd w:fill="0D2137" w:val="clear"/>
        <w:spacing w:before="480" w:after="120"/>
        <w:ind w:left="360"/>
        <w:rPr>
          <w:color w:val="FFFFFF"/>
        </w:rPr>
      </w:pPr>
      <w:r>
        <w:rPr>
          <w:rFonts w:ascii="Arial" w:cs="Arial" w:eastAsia="Arial" w:hAnsi="Arial"/>
          <w:b/>
          <w:bCs/>
          <w:color w:val="FFFFFF"/>
          <w:sz w:val="52"/>
          <w:szCs w:val="52"/>
        </w:rPr>
        <w:t xml:space="preserve">CAPÍTULO 4: Observabilidad Elite</w:t>
      </w:r>
    </w:p>
    <w:p>
      <w:pPr>
        <w:spacing w:after="80"/>
      </w:pPr>
      <w:r>
        <w:t xml:space="preserve"/>
      </w:r>
    </w:p>
    <w:p>
      <w:pPr>
        <w:spacing w:after="200"/>
        <w:jc w:val="both"/>
      </w:pPr>
      <w:r>
        <w:rPr>
          <w:rFonts w:ascii="Arial" w:cs="Arial" w:eastAsia="Arial" w:hAnsi="Arial"/>
          <w:color w:val="1A2332"/>
          <w:sz w:val="22"/>
          <w:szCs w:val="22"/>
        </w:rPr>
        <w:t xml:space="preserve">Métricas, logs y trazas no son tres cosas separadas. Son la Santa Trinidad para entender un sistema distribuido. En pagos, la "experiencia del usuario" es una transacción exitosa y rápida.</w:t>
      </w:r>
    </w:p>
    <w:p>
      <w:pPr>
        <w:pStyle w:val="Heading2"/>
        <w:pBdr>
          <w:bottom w:val="single" w:color="2D7DD2" w:sz="6" w:space="4"/>
        </w:pBdr>
        <w:spacing w:before="360" w:after="160"/>
      </w:pPr>
      <w:r>
        <w:rPr>
          <w:rFonts w:ascii="Arial" w:cs="Arial" w:eastAsia="Arial" w:hAnsi="Arial"/>
          <w:b/>
          <w:bCs/>
          <w:color w:val="0D2137"/>
          <w:sz w:val="36"/>
          <w:szCs w:val="36"/>
        </w:rPr>
        <w:t xml:space="preserve">SLIs Específicos de Pagos</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00"/>
        <w:gridCol w:w="3260"/>
        <w:gridCol w:w="3300"/>
      </w:tblGrid>
      <w:tr>
        <w:tc>
          <w:tcPr>
            <w:tcW w:type="dxa" w:w="28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Indicador (SLI)</w:t>
            </w:r>
          </w:p>
        </w:tc>
        <w:tc>
          <w:tcPr>
            <w:tcW w:type="dxa" w:w="326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Qué mide</w:t>
            </w:r>
          </w:p>
        </w:tc>
        <w:tc>
          <w:tcPr>
            <w:tcW w:type="dxa" w:w="33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Umbral de alerta</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Authorization Success Rate (ASR)</w:t>
            </w:r>
          </w:p>
        </w:tc>
        <w:tc>
          <w:tcPr>
            <w:tcW w:type="dxa" w:w="32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Autorizaciones aprobadas / totales — el SLI más crítico</w:t>
            </w:r>
          </w:p>
        </w:tc>
        <w:tc>
          <w:tcPr>
            <w:tcW w:type="dxa" w:w="33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ASR &lt; 99% → alerta inmediata</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Issuer/Network Latency P99</w:t>
            </w:r>
          </w:p>
        </w:tc>
        <w:tc>
          <w:tcPr>
            <w:tcW w:type="dxa" w:w="32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Tiempo respuesta red + emisor (desde envío hasta respuesta)</w:t>
            </w:r>
          </w:p>
        </w:tc>
        <w:tc>
          <w:tcPr>
            <w:tcW w:type="dxa" w:w="33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&gt; 300ms → investigar; &gt; 500ms → incidente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Approval Ratio por Emisor/BIN</w:t>
            </w:r>
          </w:p>
        </w:tc>
        <w:tc>
          <w:tcPr>
            <w:tcW w:type="dxa" w:w="32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ASR específico por banco. Si un banco rechaza todo, aislar.</w:t>
            </w:r>
          </w:p>
        </w:tc>
        <w:tc>
          <w:tcPr>
            <w:tcW w:type="dxa" w:w="33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Δ &gt; 5% respecto a baseline → alerta</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Reversal Ratio</w:t>
            </w:r>
          </w:p>
        </w:tc>
        <w:tc>
          <w:tcPr>
            <w:tcW w:type="dxa" w:w="32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Reversas sobre aprobadas. Ratio alto = timeouts o bugs POS.</w:t>
            </w:r>
          </w:p>
        </w:tc>
        <w:tc>
          <w:tcPr>
            <w:tcW w:type="dxa" w:w="33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&gt; 2% → investigar; &gt; 5% → incidente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Switch Processing Latency P99</w:t>
            </w:r>
          </w:p>
        </w:tc>
        <w:tc>
          <w:tcPr>
            <w:tcW w:type="dxa" w:w="32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Nuestro tiempo interno: desde recibir hasta enviar a la red</w:t>
            </w:r>
          </w:p>
        </w:tc>
        <w:tc>
          <w:tcPr>
            <w:tcW w:type="dxa" w:w="33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&gt; 50ms → alarma; &gt; 100ms → incidente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Network Connectivity Health</w:t>
            </w:r>
          </w:p>
        </w:tc>
        <w:tc>
          <w:tcPr>
            <w:tcW w:type="dxa" w:w="32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Latencia y errores de socket hacia Visa, MC, Amex</w:t>
            </w:r>
          </w:p>
        </w:tc>
        <w:tc>
          <w:tcPr>
            <w:tcW w:type="dxa" w:w="33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Cualquier pérdida de paquetes &gt; 0.01% → alerta</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Mini Recetario PromQL para Pagos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E2D3D" w:val="clear"/>
            <w:tcMar>
              <w:top w:type="dxa" w:w="180"/>
              <w:left w:type="dxa" w:w="240"/>
              <w:bottom w:type="dxa" w:w="180"/>
              <w:right w:type="dxa" w:w="240"/>
            </w:tcMar>
          </w:tcPr>
          <w:p>
            <w:pPr>
              <w:spacing w:after="40"/>
            </w:pPr>
            <w:r>
              <w:rPr>
                <w:rFonts w:ascii="Courier New" w:cs="Courier New" w:eastAsia="Courier New" w:hAnsi="Courier New"/>
                <w:color w:val="7EC8E3"/>
                <w:sz w:val="18"/>
                <w:szCs w:val="18"/>
              </w:rPr>
              <w:t xml:space="preserve"># ASR global en última hora</w:t>
            </w:r>
          </w:p>
          <w:p>
            <w:pPr>
              <w:spacing w:after="40"/>
            </w:pPr>
            <w:r>
              <w:rPr>
                <w:rFonts w:ascii="Courier New" w:cs="Courier New" w:eastAsia="Courier New" w:hAnsi="Courier New"/>
                <w:color w:val="7EC8E3"/>
                <w:sz w:val="18"/>
                <w:szCs w:val="18"/>
              </w:rPr>
              <w:t xml:space="preserve">sum(rate(requests{status="approved"}[1h])) / sum(rate(requests[1h]))</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 ASR por Emisor</w:t>
            </w:r>
          </w:p>
          <w:p>
            <w:pPr>
              <w:spacing w:after="40"/>
            </w:pPr>
            <w:r>
              <w:rPr>
                <w:rFonts w:ascii="Courier New" w:cs="Courier New" w:eastAsia="Courier New" w:hAnsi="Courier New"/>
                <w:color w:val="7EC8E3"/>
                <w:sz w:val="18"/>
                <w:szCs w:val="18"/>
              </w:rPr>
              <w:t xml:space="preserve">sum by(issuer)(rate(requests{status="approved"}[1h]))</w:t>
            </w:r>
          </w:p>
          <w:p>
            <w:pPr>
              <w:spacing w:after="40"/>
            </w:pPr>
            <w:r>
              <w:rPr>
                <w:rFonts w:ascii="Courier New" w:cs="Courier New" w:eastAsia="Courier New" w:hAnsi="Courier New"/>
                <w:color w:val="7EC8E3"/>
                <w:sz w:val="18"/>
                <w:szCs w:val="18"/>
              </w:rPr>
              <w:t xml:space="preserve">/ sum by(issuer)(rate(requests[1h]))</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 Latencia P99 por Red</w:t>
            </w:r>
          </w:p>
          <w:p>
            <w:pPr>
              <w:spacing w:after="40"/>
            </w:pPr>
            <w:r>
              <w:rPr>
                <w:rFonts w:ascii="Courier New" w:cs="Courier New" w:eastAsia="Courier New" w:hAnsi="Courier New"/>
                <w:color w:val="7EC8E3"/>
                <w:sz w:val="18"/>
                <w:szCs w:val="18"/>
              </w:rPr>
              <w:t xml:space="preserve">histogram_quantile(0.99,</w:t>
            </w:r>
          </w:p>
          <w:p>
            <w:pPr>
              <w:spacing w:after="40"/>
            </w:pPr>
            <w:r>
              <w:rPr>
                <w:rFonts w:ascii="Courier New" w:cs="Courier New" w:eastAsia="Courier New" w:hAnsi="Courier New"/>
                <w:color w:val="7EC8E3"/>
                <w:sz w:val="18"/>
                <w:szCs w:val="18"/>
              </w:rPr>
              <w:t xml:space="preserve">  sum by(le, network)(rate(latency_bucket[1h])))</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 Tasa de Reversos por Comercio</w:t>
            </w:r>
          </w:p>
          <w:p>
            <w:pPr>
              <w:spacing w:after="40"/>
            </w:pPr>
            <w:r>
              <w:rPr>
                <w:rFonts w:ascii="Courier New" w:cs="Courier New" w:eastAsia="Courier New" w:hAnsi="Courier New"/>
                <w:color w:val="7EC8E3"/>
                <w:sz w:val="18"/>
                <w:szCs w:val="18"/>
              </w:rPr>
              <w:t xml:space="preserve">sum by(merchant)(rate(reversals[1h]))</w:t>
            </w:r>
          </w:p>
          <w:p>
            <w:pPr>
              <w:spacing w:after="40"/>
            </w:pPr>
            <w:r>
              <w:rPr>
                <w:rFonts w:ascii="Courier New" w:cs="Courier New" w:eastAsia="Courier New" w:hAnsi="Courier New"/>
                <w:color w:val="7EC8E3"/>
                <w:sz w:val="18"/>
                <w:szCs w:val="18"/>
              </w:rPr>
              <w:t xml:space="preserve">/ sum by(merchant)(rate(approvals[1h]))</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 Burn Rate de Error Budget (alerta si consume budget en &lt; 2h)</w:t>
            </w:r>
          </w:p>
          <w:p>
            <w:pPr>
              <w:spacing w:after="40"/>
            </w:pPr>
            <w:r>
              <w:rPr>
                <w:rFonts w:ascii="Courier New" w:cs="Courier New" w:eastAsia="Courier New" w:hAnsi="Courier New"/>
                <w:color w:val="7EC8E3"/>
                <w:sz w:val="18"/>
                <w:szCs w:val="18"/>
              </w:rPr>
              <w:t xml:space="preserve">sum(rate(errors{service="auth-switch"}[1h]))</w:t>
            </w:r>
          </w:p>
          <w:p>
            <w:pPr>
              <w:spacing w:after="40"/>
            </w:pPr>
            <w:r>
              <w:rPr>
                <w:rFonts w:ascii="Courier New" w:cs="Courier New" w:eastAsia="Courier New" w:hAnsi="Courier New"/>
                <w:color w:val="7EC8E3"/>
                <w:sz w:val="18"/>
                <w:szCs w:val="18"/>
              </w:rPr>
              <w:t xml:space="preserve">/ sum(rate(requests{service="auth-switch"}[1h])) &gt; 0.001 * 14.4</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Alertas: Buenas vs. Malas</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 Mala Alerta (basada en síntoma técnico)</w:t>
            </w:r>
          </w:p>
        </w:tc>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 Buena Alerta (basada en impacto de negocio)</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CPU &gt; 80% → ¿Y qué?</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rate(errors[1h]) / rate(requests[1h]) &gt; 0.001 × 14.4</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El CPU puede estar alto por proceso batch legítimo</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Ratio de error consume todo el budget mensual en 2h</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No indica problema funcional real</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Burn rate alerta: acción inmediata requerida</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Genera fatiga de alertas (alert fatigue)</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Directamente correlacionada con impacto al negocio</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Evitar a toda costa este tipo de alertas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Este es el estándar Google SRE para alertas</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Buenas Prácticas de Logging PCI DSS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single" w:color="E74C3C"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E74C3C"/>
                <w:sz w:val="22"/>
                <w:szCs w:val="22"/>
              </w:rPr>
              <w:t xml:space="preserve">Enmascarar PAN</w:t>
            </w:r>
          </w:p>
          <w:p>
            <w:pPr>
              <w:spacing w:after="0"/>
            </w:pPr>
            <w:r>
              <w:rPr>
                <w:rFonts w:ascii="Arial" w:cs="Arial" w:eastAsia="Arial" w:hAnsi="Arial"/>
                <w:color w:val="34495E"/>
                <w:sz w:val="20"/>
                <w:szCs w:val="20"/>
              </w:rPr>
              <w:t xml:space="preserve">Siempre mostrar solo los 6 primeros y 4 últimos dígitos. Nunca loguear el PAN completo. Ejemplo: 454312xxxxxx1234.</w:t>
            </w:r>
          </w:p>
        </w:tc>
        <w:tc>
          <w:tcPr>
            <w:tcW w:type="dxa" w:w="3120"/>
            <w:tcBorders>
              <w:top w:val="none" w:color="FFFFFF" w:sz="0"/>
              <w:left w:val="single" w:color="E67E22"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E67E22"/>
                <w:sz w:val="22"/>
                <w:szCs w:val="22"/>
              </w:rPr>
              <w:t xml:space="preserve">No Loguear PIN</w:t>
            </w:r>
          </w:p>
          <w:p>
            <w:pPr>
              <w:spacing w:after="0"/>
            </w:pPr>
            <w:r>
              <w:rPr>
                <w:rFonts w:ascii="Arial" w:cs="Arial" w:eastAsia="Arial" w:hAnsi="Arial"/>
                <w:color w:val="34495E"/>
                <w:sz w:val="20"/>
                <w:szCs w:val="20"/>
              </w:rPr>
              <w:t xml:space="preserve">El PIN JAMÁS debe aparecer en logs. Si se necesita para debugging, usar hash irreversible únicamente.</w:t>
            </w:r>
          </w:p>
        </w:tc>
        <w:tc>
          <w:tcPr>
            <w:tcW w:type="dxa" w:w="3120"/>
            <w:tcBorders>
              <w:top w:val="none" w:color="FFFFFF" w:sz="0"/>
              <w:left w:val="single" w:color="F39C12" w:sz="12"/>
              <w:bottom w:val="none" w:color="FFFFFF" w:sz="0"/>
              <w:right w:val="none" w:color="FFFFFF" w:sz="0"/>
            </w:tcBorders>
            <w:shd w:fill="F5F7FA" w:val="clear"/>
            <w:tcMar>
              <w:top w:type="dxa" w:w="120"/>
              <w:left w:type="dxa" w:w="180"/>
              <w:bottom w:type="dxa" w:w="120"/>
              <w:right w:type="dxa" w:w="120"/>
            </w:tcMar>
          </w:tcPr>
          <w:p>
            <w:pPr>
              <w:spacing w:after="60"/>
            </w:pPr>
            <w:r>
              <w:rPr>
                <w:rFonts w:ascii="Arial" w:cs="Arial" w:eastAsia="Arial" w:hAnsi="Arial"/>
                <w:b/>
                <w:bCs/>
                <w:color w:val="F39C12"/>
                <w:sz w:val="22"/>
                <w:szCs w:val="22"/>
              </w:rPr>
              <w:t xml:space="preserve">Rotación y Retención</w:t>
            </w:r>
          </w:p>
          <w:p>
            <w:pPr>
              <w:spacing w:after="0"/>
            </w:pPr>
            <w:r>
              <w:rPr>
                <w:rFonts w:ascii="Arial" w:cs="Arial" w:eastAsia="Arial" w:hAnsi="Arial"/>
                <w:color w:val="34495E"/>
                <w:sz w:val="20"/>
                <w:szCs w:val="20"/>
              </w:rPr>
              <w:t xml:space="preserve">Rotar logs diariamente y cifrar en reposo. Retención mínima 12 meses según PCI DSS Req. 10.7.</w:t>
            </w:r>
          </w:p>
        </w:tc>
      </w:tr>
    </w:tbl>
    <w:p>
      <w:pPr>
        <w:spacing w:after="300"/>
      </w:pPr>
      <w:r>
        <w:t xml:space="preserve"/>
      </w:r>
    </w:p>
    <w:p>
      <w:r>
        <w:br w:type="page"/>
      </w:r>
    </w:p>
    <w:p>
      <w:pPr>
        <w:shd w:fill="0D2137" w:val="clear"/>
        <w:spacing w:before="480" w:after="120"/>
        <w:ind w:left="360"/>
        <w:rPr>
          <w:color w:val="FFFFFF"/>
        </w:rPr>
      </w:pPr>
      <w:r>
        <w:rPr>
          <w:rFonts w:ascii="Arial" w:cs="Arial" w:eastAsia="Arial" w:hAnsi="Arial"/>
          <w:b/>
          <w:bCs/>
          <w:color w:val="FFFFFF"/>
          <w:sz w:val="52"/>
          <w:szCs w:val="52"/>
        </w:rPr>
        <w:t xml:space="preserve">CAPÍTULO 5: SLO Engineering y Error Budgets</w:t>
      </w:r>
    </w:p>
    <w:p>
      <w:pPr>
        <w:spacing w:after="80"/>
      </w:pPr>
      <w:r>
        <w:t xml:space="preserve"/>
      </w:r>
    </w:p>
    <w:p>
      <w:pPr>
        <w:spacing w:after="200"/>
        <w:jc w:val="both"/>
      </w:pPr>
      <w:r>
        <w:rPr>
          <w:rFonts w:ascii="Arial" w:cs="Arial" w:eastAsia="Arial" w:hAnsi="Arial"/>
          <w:color w:val="1A2332"/>
          <w:sz w:val="22"/>
          <w:szCs w:val="22"/>
        </w:rPr>
        <w:t xml:space="preserve">Los SLOs no son solo números. Son la herramienta de gestión que equilibra la innovación (lanzar features) con la confiabilidad. El error budget es el combustible que permite innovar sin comprometer la estabilidad.</w:t>
      </w:r>
    </w:p>
    <w:p>
      <w:pPr>
        <w:pStyle w:val="Heading2"/>
        <w:pBdr>
          <w:bottom w:val="single" w:color="2D7DD2" w:sz="6" w:space="4"/>
        </w:pBdr>
        <w:spacing w:before="360" w:after="160"/>
      </w:pPr>
      <w:r>
        <w:rPr>
          <w:rFonts w:ascii="Arial" w:cs="Arial" w:eastAsia="Arial" w:hAnsi="Arial"/>
          <w:b/>
          <w:bCs/>
          <w:color w:val="0D2137"/>
          <w:sz w:val="36"/>
          <w:szCs w:val="36"/>
        </w:rPr>
        <w:t xml:space="preserve">Definición de SLOs por Criticidad de Servicio</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000"/>
        <w:gridCol w:w="2160"/>
        <w:gridCol w:w="2600"/>
        <w:gridCol w:w="2600"/>
      </w:tblGrid>
      <w:tr>
        <w:tc>
          <w:tcPr>
            <w:tcW w:type="dxa" w:w="20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Nivel SLO</w:t>
            </w:r>
          </w:p>
        </w:tc>
        <w:tc>
          <w:tcPr>
            <w:tcW w:type="dxa" w:w="216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Servicio</w:t>
            </w:r>
          </w:p>
        </w:tc>
        <w:tc>
          <w:tcPr>
            <w:tcW w:type="dxa" w:w="26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Objetivo</w:t>
            </w:r>
          </w:p>
        </w:tc>
        <w:tc>
          <w:tcPr>
            <w:tcW w:type="dxa" w:w="26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Error Budget Mensual</w:t>
            </w:r>
          </w:p>
        </w:tc>
      </w:tr>
      <w:tr>
        <w:tc>
          <w:tcPr>
            <w:tcW w:type="dxa" w:w="2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Estricto</w:t>
            </w:r>
          </w:p>
        </w:tc>
        <w:tc>
          <w:tcPr>
            <w:tcW w:type="dxa" w:w="2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Core Authorizations</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99.95% disponibilidad</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21.6 minutos/mes</w:t>
            </w:r>
          </w:p>
        </w:tc>
      </w:tr>
      <w:tr>
        <w:tc>
          <w:tcPr>
            <w:tcW w:type="dxa" w:w="2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Medio</w:t>
            </w:r>
          </w:p>
        </w:tc>
        <w:tc>
          <w:tcPr>
            <w:tcW w:type="dxa" w:w="2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Batch y Reportes</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99.5% éxito en 24h</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~3.6 horas/mes</w:t>
            </w:r>
          </w:p>
        </w:tc>
      </w:tr>
      <w:tr>
        <w:tc>
          <w:tcPr>
            <w:tcW w:type="dxa" w:w="2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Bajo</w:t>
            </w:r>
          </w:p>
        </w:tc>
        <w:tc>
          <w:tcPr>
            <w:tcW w:type="dxa" w:w="2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Paneles de Admin</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99% disponibilidad</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~7.2 horas/mes</w:t>
            </w:r>
          </w:p>
        </w:tc>
      </w:tr>
      <w:tr>
        <w:tc>
          <w:tcPr>
            <w:tcW w:type="dxa" w:w="20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Batch Liquidación</w:t>
            </w:r>
          </w:p>
        </w:tc>
        <w:tc>
          <w:tcPr>
            <w:tcW w:type="dxa" w:w="2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Proceso nocturno</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99.9% completado en &lt; 2h</w:t>
            </w:r>
          </w:p>
        </w:tc>
        <w:tc>
          <w:tcPr>
            <w:tcW w:type="dxa" w:w="26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~43 minutos/mes</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Política de Burn Rate — Cuándo Actuar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7AE60"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1</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27AE60"/>
                <w:sz w:val="24"/>
                <w:szCs w:val="24"/>
              </w:rPr>
              <w:t xml:space="preserve">Burn Rate &lt; 1x — Monitoreo normal</w:t>
            </w:r>
          </w:p>
          <w:p>
            <w:pPr>
              <w:spacing w:after="0"/>
            </w:pPr>
            <w:r>
              <w:rPr>
                <w:rFonts w:ascii="Arial" w:cs="Arial" w:eastAsia="Arial" w:hAnsi="Arial"/>
                <w:color w:val="34495E"/>
                <w:sz w:val="21"/>
                <w:szCs w:val="21"/>
              </w:rPr>
              <w:t xml:space="preserve">Consumo saludable. Sin acciones especiales requeridas. El sistema está dentro de parámetros normales.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D7DD2"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2</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2D7DD2"/>
                <w:sz w:val="24"/>
                <w:szCs w:val="24"/>
              </w:rPr>
              <w:t xml:space="preserve">Burn Rate 1x-2x — Investigar (&gt;2% en 6h)</w:t>
            </w:r>
          </w:p>
          <w:p>
            <w:pPr>
              <w:spacing w:after="0"/>
            </w:pPr>
            <w:r>
              <w:rPr>
                <w:rFonts w:ascii="Arial" w:cs="Arial" w:eastAsia="Arial" w:hAnsi="Arial"/>
                <w:color w:val="34495E"/>
                <w:sz w:val="21"/>
                <w:szCs w:val="21"/>
              </w:rPr>
              <w:t xml:space="preserve">Abrir ticket de investigación. Observar tendencias. Revisar cambios recientes desplegados.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39C12"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3</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F39C12"/>
                <w:sz w:val="24"/>
                <w:szCs w:val="24"/>
              </w:rPr>
              <w:t xml:space="preserve">Burn Rate 2x-6x — Alerta equipo (&gt;5% en 3h)</w:t>
            </w:r>
          </w:p>
          <w:p>
            <w:pPr>
              <w:spacing w:after="0"/>
            </w:pPr>
            <w:r>
              <w:rPr>
                <w:rFonts w:ascii="Arial" w:cs="Arial" w:eastAsia="Arial" w:hAnsi="Arial"/>
                <w:color w:val="34495E"/>
                <w:sz w:val="21"/>
                <w:szCs w:val="21"/>
              </w:rPr>
              <w:t xml:space="preserve">Alerta a todo el equipo SRE. Posible incidente P3/P4. Revisar dashboards de observabilidad.</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4</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E67E22"/>
                <w:sz w:val="24"/>
                <w:szCs w:val="24"/>
              </w:rPr>
              <w:t xml:space="preserve">Burn Rate 6x-14.4x — Página al SRE (&gt;10% en 1h)</w:t>
            </w:r>
          </w:p>
          <w:p>
            <w:pPr>
              <w:spacing w:after="0"/>
            </w:pPr>
            <w:r>
              <w:rPr>
                <w:rFonts w:ascii="Arial" w:cs="Arial" w:eastAsia="Arial" w:hAnsi="Arial"/>
                <w:color w:val="34495E"/>
                <w:sz w:val="21"/>
                <w:szCs w:val="21"/>
              </w:rPr>
              <w:t xml:space="preserve">Page al SRE de guardia. Declarar P1. CONGELAR todos los lanzamientos inmediatamente.</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74C3C"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5</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E74C3C"/>
                <w:sz w:val="24"/>
                <w:szCs w:val="24"/>
              </w:rPr>
              <w:t xml:space="preserve">Burn Rate &gt; 14.4x — CRÍTICO (&gt;5% en 10 min)</w:t>
            </w:r>
          </w:p>
          <w:p>
            <w:pPr>
              <w:spacing w:after="0"/>
            </w:pPr>
            <w:r>
              <w:rPr>
                <w:rFonts w:ascii="Arial" w:cs="Arial" w:eastAsia="Arial" w:hAnsi="Arial"/>
                <w:color w:val="34495E"/>
                <w:sz w:val="21"/>
                <w:szCs w:val="21"/>
              </w:rPr>
              <w:t xml:space="preserve">Página crítica inmediata. El budget se quema en minutos. Activar war room. P0 declarado.</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Matriz de Decisión de Error Budget</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1560"/>
        <w:gridCol w:w="3900"/>
        <w:gridCol w:w="3900"/>
      </w:tblGrid>
      <w:tr>
        <w:tc>
          <w:tcPr>
            <w:tcW w:type="dxa" w:w="156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Consumo</w:t>
            </w:r>
          </w:p>
        </w:tc>
        <w:tc>
          <w:tcPr>
            <w:tcW w:type="dxa" w:w="39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 Técnica</w:t>
            </w:r>
          </w:p>
        </w:tc>
        <w:tc>
          <w:tcPr>
            <w:tcW w:type="dxa" w:w="39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 de Negocio</w:t>
            </w:r>
          </w:p>
        </w:tc>
      </w:tr>
      <w:tr>
        <w:tc>
          <w:tcPr>
            <w:tcW w:type="dxa" w:w="1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10%</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Revisión de cambios recientes</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Monitoreo aumentado</w:t>
            </w:r>
          </w:p>
        </w:tc>
      </w:tr>
      <w:tr>
        <w:tc>
          <w:tcPr>
            <w:tcW w:type="dxa" w:w="1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25%</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Freeze de lanzamientos</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Reunión con equipo de producto</w:t>
            </w:r>
          </w:p>
        </w:tc>
      </w:tr>
      <w:tr>
        <w:tc>
          <w:tcPr>
            <w:tcW w:type="dxa" w:w="1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50%</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Reunión de emergencia técnica</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Comunicación a dirección</w:t>
            </w:r>
          </w:p>
        </w:tc>
      </w:tr>
      <w:tr>
        <w:tc>
          <w:tcPr>
            <w:tcW w:type="dxa" w:w="1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75%</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Activar plan de DR</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Comunicación a ejecutivos y clientes clave</w:t>
            </w:r>
          </w:p>
        </w:tc>
      </w:tr>
      <w:tr>
        <w:tc>
          <w:tcPr>
            <w:tcW w:type="dxa" w:w="1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100%</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Investigación profunda de causa raíz</w:t>
            </w:r>
          </w:p>
        </w:tc>
        <w:tc>
          <w:tcPr>
            <w:tcW w:type="dxa" w:w="39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Revisión de SLA con clientes, posibles penalizaciones</w:t>
            </w:r>
          </w:p>
        </w:tc>
      </w:tr>
    </w:tbl>
    <w:p>
      <w:pPr>
        <w:spacing w:after="300"/>
      </w:pPr>
      <w:r>
        <w:t xml:space="preserve"/>
      </w:r>
    </w:p>
    <w:p>
      <w:r>
        <w:br w:type="page"/>
      </w:r>
    </w:p>
    <w:p>
      <w:pPr>
        <w:shd w:fill="0D2137" w:val="clear"/>
        <w:spacing w:before="480" w:after="120"/>
        <w:ind w:left="360"/>
        <w:rPr>
          <w:color w:val="FFFFFF"/>
        </w:rPr>
      </w:pPr>
      <w:r>
        <w:rPr>
          <w:rFonts w:ascii="Arial" w:cs="Arial" w:eastAsia="Arial" w:hAnsi="Arial"/>
          <w:b/>
          <w:bCs/>
          <w:color w:val="FFFFFF"/>
          <w:sz w:val="52"/>
          <w:szCs w:val="52"/>
        </w:rPr>
        <w:t xml:space="preserve">CAPÍTULO 6: Incident Response Real</w:t>
      </w:r>
    </w:p>
    <w:p>
      <w:pPr>
        <w:spacing w:after="80"/>
      </w:pPr>
      <w:r>
        <w:t xml:space="preserve"/>
      </w:r>
    </w:p>
    <w:p>
      <w:pPr>
        <w:spacing w:after="200"/>
        <w:jc w:val="both"/>
      </w:pPr>
      <w:r>
        <w:rPr>
          <w:rFonts w:ascii="Arial" w:cs="Arial" w:eastAsia="Arial" w:hAnsi="Arial"/>
          <w:color w:val="1A2332"/>
          <w:sz w:val="22"/>
          <w:szCs w:val="22"/>
        </w:rPr>
        <w:t xml:space="preserve">Cuando suena el pájaro (PagerDuty/OpsGenie), el pánico es el enemigo. El proceso es tu amigo. La severidad se basa en impacto económico, no en la gravedad técnica del error.</w:t>
      </w:r>
    </w:p>
    <w:p>
      <w:pPr>
        <w:pStyle w:val="Heading2"/>
        <w:pBdr>
          <w:bottom w:val="single" w:color="2D7DD2" w:sz="6" w:space="4"/>
        </w:pBdr>
        <w:spacing w:before="360" w:after="160"/>
      </w:pPr>
      <w:r>
        <w:rPr>
          <w:rFonts w:ascii="Arial" w:cs="Arial" w:eastAsia="Arial" w:hAnsi="Arial"/>
          <w:b/>
          <w:bCs/>
          <w:color w:val="0D2137"/>
          <w:sz w:val="36"/>
          <w:szCs w:val="36"/>
        </w:rPr>
        <w:t xml:space="preserve">Severidades por Impacto Económico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single" w:color="E74C3C" w:sz="16"/>
              <w:bottom w:val="none" w:color="FFFFFF" w:sz="0"/>
              <w:right w:val="none" w:color="FFFFFF" w:sz="0"/>
            </w:tcBorders>
            <w:shd w:fill="FEF2F2" w:val="clear"/>
            <w:tcMar>
              <w:top w:type="dxa" w:w="160"/>
              <w:left w:type="dxa" w:w="200"/>
              <w:bottom w:type="dxa" w:w="160"/>
              <w:right w:type="dxa" w:w="160"/>
            </w:tcMar>
          </w:tcPr>
          <w:p>
            <w:pPr>
              <w:spacing w:after="80"/>
            </w:pPr>
            <w:r>
              <w:rPr>
                <w:rFonts w:ascii="Arial" w:cs="Arial" w:eastAsia="Arial" w:hAnsi="Arial"/>
                <w:b/>
                <w:bCs/>
                <w:color w:val="E74C3C"/>
                <w:sz w:val="24"/>
                <w:szCs w:val="24"/>
              </w:rPr>
              <w:t xml:space="preserve">🔴 P0 — Todo se está quemando</w:t>
            </w:r>
          </w:p>
          <w:p>
            <w:pPr>
              <w:spacing w:after="0"/>
            </w:pPr>
            <w:r>
              <w:rPr>
                <w:rFonts w:ascii="Arial" w:cs="Arial" w:eastAsia="Arial" w:hAnsi="Arial"/>
                <w:color w:val="1A2332"/>
                <w:sz w:val="20"/>
                <w:szCs w:val="20"/>
              </w:rPr>
              <w:t xml:space="preserve">Caída total del servicio. Imposible vender. Múltiples comercios afectados. &gt; $50K/hora. Respuesta inmediata. War room. Comunicación a CEO en &lt; 15min.</w:t>
            </w:r>
          </w:p>
        </w:tc>
        <w:tc>
          <w:tcPr>
            <w:tcW w:type="dxa" w:w="4680"/>
            <w:tcBorders>
              <w:top w:val="none" w:color="FFFFFF" w:sz="0"/>
              <w:left w:val="single" w:color="E67E22" w:sz="16"/>
              <w:bottom w:val="none" w:color="FFFFFF" w:sz="0"/>
              <w:right w:val="none" w:color="FFFFFF" w:sz="0"/>
            </w:tcBorders>
            <w:shd w:fill="FFF7ED" w:val="clear"/>
            <w:tcMar>
              <w:top w:type="dxa" w:w="160"/>
              <w:left w:type="dxa" w:w="200"/>
              <w:bottom w:type="dxa" w:w="160"/>
              <w:right w:type="dxa" w:w="160"/>
            </w:tcMar>
          </w:tcPr>
          <w:p>
            <w:pPr>
              <w:spacing w:after="80"/>
            </w:pPr>
            <w:r>
              <w:rPr>
                <w:rFonts w:ascii="Arial" w:cs="Arial" w:eastAsia="Arial" w:hAnsi="Arial"/>
                <w:b/>
                <w:bCs/>
                <w:color w:val="E67E22"/>
                <w:sz w:val="24"/>
                <w:szCs w:val="24"/>
              </w:rPr>
              <w:t xml:space="preserve">🟠 P1 — Incendio en una habitación</w:t>
            </w:r>
          </w:p>
          <w:p>
            <w:pPr>
              <w:spacing w:after="0"/>
            </w:pPr>
            <w:r>
              <w:rPr>
                <w:rFonts w:ascii="Arial" w:cs="Arial" w:eastAsia="Arial" w:hAnsi="Arial"/>
                <w:color w:val="1A2332"/>
                <w:sz w:val="20"/>
                <w:szCs w:val="20"/>
              </w:rPr>
              <w:t xml:space="preserve">Degradación severa. Emisor importante caído. Lote de liquidación fallido. &gt; $10K/hora. Equipo completo. Comunicación a dirección.</w:t>
            </w:r>
          </w:p>
        </w:tc>
      </w:tr>
      <w:tr>
        <w:tc>
          <w:tcPr>
            <w:tcW w:type="dxa" w:w="4680"/>
            <w:tcBorders>
              <w:top w:val="none" w:color="FFFFFF" w:sz="0"/>
              <w:left w:val="single" w:color="F39C12" w:sz="16"/>
              <w:bottom w:val="none" w:color="FFFFFF" w:sz="0"/>
              <w:right w:val="none" w:color="FFFFFF" w:sz="0"/>
            </w:tcBorders>
            <w:shd w:fill="FEFCE8" w:val="clear"/>
            <w:tcMar>
              <w:top w:type="dxa" w:w="160"/>
              <w:left w:type="dxa" w:w="200"/>
              <w:bottom w:type="dxa" w:w="160"/>
              <w:right w:type="dxa" w:w="160"/>
            </w:tcMar>
          </w:tcPr>
          <w:p>
            <w:pPr>
              <w:spacing w:after="80"/>
            </w:pPr>
            <w:r>
              <w:rPr>
                <w:rFonts w:ascii="Arial" w:cs="Arial" w:eastAsia="Arial" w:hAnsi="Arial"/>
                <w:b/>
                <w:bCs/>
                <w:color w:val="F39C12"/>
                <w:sz w:val="24"/>
                <w:szCs w:val="24"/>
              </w:rPr>
              <w:t xml:space="preserve">🟡 P2 — Huele a humo</w:t>
            </w:r>
          </w:p>
          <w:p>
            <w:pPr>
              <w:spacing w:after="0"/>
            </w:pPr>
            <w:r>
              <w:rPr>
                <w:rFonts w:ascii="Arial" w:cs="Arial" w:eastAsia="Arial" w:hAnsi="Arial"/>
                <w:color w:val="1A2332"/>
                <w:sz w:val="20"/>
                <w:szCs w:val="20"/>
              </w:rPr>
              <w:t xml:space="preserve">Error en feature no crítico. Latencia elevada en subconjunto pequeño. Bajo impacto. Se atiende durante horas hábiles.</w:t>
            </w:r>
          </w:p>
        </w:tc>
        <w:tc>
          <w:tcPr>
            <w:tcW w:type="dxa" w:w="4680"/>
            <w:tcBorders>
              <w:top w:val="none" w:color="FFFFFF" w:sz="0"/>
              <w:left w:val="single" w:color="27AE60" w:sz="16"/>
              <w:bottom w:val="none" w:color="FFFFFF" w:sz="0"/>
              <w:right w:val="none" w:color="FFFFFF" w:sz="0"/>
            </w:tcBorders>
            <w:shd w:fill="F0FDF4" w:val="clear"/>
            <w:tcMar>
              <w:top w:type="dxa" w:w="160"/>
              <w:left w:type="dxa" w:w="200"/>
              <w:bottom w:type="dxa" w:w="160"/>
              <w:right w:type="dxa" w:w="160"/>
            </w:tcMar>
          </w:tcPr>
          <w:p>
            <w:pPr>
              <w:spacing w:after="80"/>
            </w:pPr>
            <w:r>
              <w:rPr>
                <w:rFonts w:ascii="Arial" w:cs="Arial" w:eastAsia="Arial" w:hAnsi="Arial"/>
                <w:b/>
                <w:bCs/>
                <w:color w:val="27AE60"/>
                <w:sz w:val="24"/>
                <w:szCs w:val="24"/>
              </w:rPr>
              <w:t xml:space="preserve">🟢 P3 — Humo de cigarrillo</w:t>
            </w:r>
          </w:p>
          <w:p>
            <w:pPr>
              <w:spacing w:after="0"/>
            </w:pPr>
            <w:r>
              <w:rPr>
                <w:rFonts w:ascii="Arial" w:cs="Arial" w:eastAsia="Arial" w:hAnsi="Arial"/>
                <w:color w:val="1A2332"/>
                <w:sz w:val="20"/>
                <w:szCs w:val="20"/>
              </w:rPr>
              <w:t xml:space="preserve">Error cosmético en UI. Alerta ruidosa sin problema real. Sin impacto en transacciones. Backlog normal del equipo.</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Runbook P0 — Los 6 Pasos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74C3C"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1</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E74C3C"/>
                <w:sz w:val="24"/>
                <w:szCs w:val="24"/>
              </w:rPr>
              <w:t xml:space="preserve">Detección</w:t>
            </w:r>
          </w:p>
          <w:p>
            <w:pPr>
              <w:spacing w:after="0"/>
            </w:pPr>
            <w:r>
              <w:rPr>
                <w:rFonts w:ascii="Arial" w:cs="Arial" w:eastAsia="Arial" w:hAnsi="Arial"/>
                <w:color w:val="34495E"/>
                <w:sz w:val="21"/>
                <w:szCs w:val="21"/>
              </w:rPr>
              <w:t xml:space="preserve">Alerta de burn rate activa. Ingeniero de guardia recibe notificación (PagerDuty/OpsGenie). Clock starts.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2</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E67E22"/>
                <w:sz w:val="24"/>
                <w:szCs w:val="24"/>
              </w:rPr>
              <w:t xml:space="preserve">ACK y Triage (0-5 min)</w:t>
            </w:r>
          </w:p>
          <w:p>
            <w:pPr>
              <w:spacing w:after="0"/>
            </w:pPr>
            <w:r>
              <w:rPr>
                <w:rFonts w:ascii="Arial" w:cs="Arial" w:eastAsia="Arial" w:hAnsi="Arial"/>
                <w:color w:val="34495E"/>
                <w:sz w:val="21"/>
                <w:szCs w:val="21"/>
              </w:rPr>
              <w:t xml:space="preserve">On-call ACKnowledge la alerta. Se une al canal de incidentes. Evalúa: ¿Es P0? ¿Está todo caído o solo una región? Si es P0, se declara formalmente.</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39C12"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3</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F39C12"/>
                <w:sz w:val="24"/>
                <w:szCs w:val="24"/>
              </w:rPr>
              <w:t xml:space="preserve">Comunicación Inicial (5-10 min)</w:t>
            </w:r>
          </w:p>
          <w:p>
            <w:pPr>
              <w:spacing w:after="0"/>
            </w:pPr>
            <w:r>
              <w:rPr>
                <w:rFonts w:ascii="Arial" w:cs="Arial" w:eastAsia="Arial" w:hAnsi="Arial"/>
                <w:color w:val="34495E"/>
                <w:sz w:val="21"/>
                <w:szCs w:val="21"/>
              </w:rPr>
              <w:t xml:space="preserve">IC nombrado. Publica: "Investigando incidente P0 que afecta autorizaciones. Update en 15min." Crea documento de telemetría en tiempo real.</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D7DD2"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4</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2D7DD2"/>
                <w:sz w:val="24"/>
                <w:szCs w:val="24"/>
              </w:rPr>
              <w:t xml:space="preserve">Mitigación (en adelante)</w:t>
            </w:r>
          </w:p>
          <w:p>
            <w:pPr>
              <w:spacing w:after="0"/>
            </w:pPr>
            <w:r>
              <w:rPr>
                <w:rFonts w:ascii="Arial" w:cs="Arial" w:eastAsia="Arial" w:hAnsi="Arial"/>
                <w:color w:val="34495E"/>
                <w:sz w:val="21"/>
                <w:szCs w:val="21"/>
              </w:rPr>
              <w:t xml:space="preserve">Equipo de troubleshooting busca causa o mitigación más rápida. IC coordina y asigna. PRIORIDAD: restaurar el servicio, NO encontrar causa raíz.</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7AE60"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5</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27AE60"/>
                <w:sz w:val="24"/>
                <w:szCs w:val="24"/>
              </w:rPr>
              <w:t xml:space="preserve">Resolución</w:t>
            </w:r>
          </w:p>
          <w:p>
            <w:pPr>
              <w:spacing w:after="0"/>
            </w:pPr>
            <w:r>
              <w:rPr>
                <w:rFonts w:ascii="Arial" w:cs="Arial" w:eastAsia="Arial" w:hAnsi="Arial"/>
                <w:color w:val="34495E"/>
                <w:sz w:val="21"/>
                <w:szCs w:val="21"/>
              </w:rPr>
              <w:t xml:space="preserve">IC declara que el servicio volvió a la normalidad. Publica: "Incidente resuelto. Servicio nominal. Postmortem en 48h." Monitoreo aumentado por 2h.</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60"/>
              <w:left w:type="dxa" w:w="120"/>
              <w:bottom w:type="dxa" w:w="160"/>
              <w:right w:type="dxa" w:w="120"/>
            </w:tcMar>
            <w:vAlign w:val="center"/>
          </w:tcPr>
          <w:p>
            <w:pPr>
              <w:spacing w:after="0"/>
              <w:jc w:val="center"/>
            </w:pPr>
            <w:r>
              <w:rPr>
                <w:rFonts w:ascii="Arial" w:cs="Arial" w:eastAsia="Arial" w:hAnsi="Arial"/>
                <w:b/>
                <w:bCs/>
                <w:color w:val="FFFFFF"/>
                <w:sz w:val="36"/>
                <w:szCs w:val="36"/>
              </w:rPr>
              <w:t xml:space="preserve">6</w:t>
            </w:r>
          </w:p>
        </w:tc>
        <w:tc>
          <w:tcPr>
            <w:tcW w:type="dxa" w:w="8160"/>
            <w:tcBorders>
              <w:top w:val="none" w:color="FFFFFF" w:sz="0"/>
              <w:left w:val="none" w:color="FFFFFF" w:sz="0"/>
              <w:bottom w:val="single" w:color="D0D8E4" w:sz="4"/>
              <w:right w:val="none" w:color="FFFFFF" w:sz="0"/>
            </w:tcBorders>
            <w:shd w:fill="F5F7FA" w:val="clear"/>
            <w:tcMar>
              <w:top w:type="dxa" w:w="120"/>
              <w:left w:type="dxa" w:w="220"/>
              <w:bottom w:type="dxa" w:w="120"/>
              <w:right w:type="dxa" w:w="180"/>
            </w:tcMar>
          </w:tcPr>
          <w:p>
            <w:pPr>
              <w:spacing w:after="60"/>
            </w:pPr>
            <w:r>
              <w:rPr>
                <w:rFonts w:ascii="Arial" w:cs="Arial" w:eastAsia="Arial" w:hAnsi="Arial"/>
                <w:b/>
                <w:bCs/>
                <w:color w:val="1A3A5C"/>
                <w:sz w:val="24"/>
                <w:szCs w:val="24"/>
              </w:rPr>
              <w:t xml:space="preserve">Postmortem (48h)</w:t>
            </w:r>
          </w:p>
          <w:p>
            <w:pPr>
              <w:spacing w:after="0"/>
            </w:pPr>
            <w:r>
              <w:rPr>
                <w:rFonts w:ascii="Arial" w:cs="Arial" w:eastAsia="Arial" w:hAnsi="Arial"/>
                <w:color w:val="34495E"/>
                <w:sz w:val="21"/>
                <w:szCs w:val="21"/>
              </w:rPr>
              <w:t xml:space="preserve">Reunión blameless. Análisis de línea de tiempo, causa raíz y acciones con dueños y fechas concretas para que no vuelva a ocurrir.</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Lo que NUNCA Debes Hacer en un Incidente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74C3C" w:sz="16"/>
              <w:bottom w:val="single" w:color="D0D8E4" w:sz="2"/>
              <w:right w:val="none" w:color="FFFFFF" w:sz="0"/>
            </w:tcBorders>
            <w:shd w:fill="FEF2F2" w:val="clear"/>
            <w:tcMar>
              <w:top w:type="dxa" w:w="100"/>
              <w:left w:type="dxa" w:w="220"/>
              <w:bottom w:type="dxa" w:w="100"/>
              <w:right w:type="dxa" w:w="180"/>
            </w:tcMar>
          </w:tcPr>
          <w:p>
            <w:pPr>
              <w:spacing w:after="0"/>
            </w:pPr>
            <w:r>
              <w:rPr>
                <w:rFonts w:ascii="Arial" w:cs="Arial" w:eastAsia="Arial" w:hAnsi="Arial"/>
                <w:color w:val="1A2332"/>
                <w:sz w:val="21"/>
                <w:szCs w:val="21"/>
              </w:rPr>
              <w:t xml:space="preserve">❌  Reiniciar servicios sin consenso — puede empeorar el problema o perder evidencia forense.</w:t>
            </w:r>
          </w:p>
        </w:tc>
      </w:tr>
      <w:tr>
        <w:tc>
          <w:tcPr>
            <w:tcW w:type="dxa" w:w="9360"/>
            <w:tcBorders>
              <w:top w:val="none" w:color="FFFFFF" w:sz="0"/>
              <w:left w:val="single" w:color="E74C3C" w:sz="16"/>
              <w:bottom w:val="single" w:color="D0D8E4" w:sz="2"/>
              <w:right w:val="none" w:color="FFFFFF" w:sz="0"/>
            </w:tcBorders>
            <w:shd w:fill="FEF2F2" w:val="clear"/>
            <w:tcMar>
              <w:top w:type="dxa" w:w="100"/>
              <w:left w:type="dxa" w:w="220"/>
              <w:bottom w:type="dxa" w:w="100"/>
              <w:right w:type="dxa" w:w="180"/>
            </w:tcMar>
          </w:tcPr>
          <w:p>
            <w:pPr>
              <w:spacing w:after="0"/>
            </w:pPr>
            <w:r>
              <w:rPr>
                <w:rFonts w:ascii="Arial" w:cs="Arial" w:eastAsia="Arial" w:hAnsi="Arial"/>
                <w:color w:val="1A2332"/>
                <w:sz w:val="21"/>
                <w:szCs w:val="21"/>
              </w:rPr>
              <w:t xml:space="preserve">❌  No comunicar — el silencio genera pánico. Update cada 15min aunque no haya novedades.</w:t>
            </w:r>
          </w:p>
        </w:tc>
      </w:tr>
      <w:tr>
        <w:tc>
          <w:tcPr>
            <w:tcW w:type="dxa" w:w="9360"/>
            <w:tcBorders>
              <w:top w:val="none" w:color="FFFFFF" w:sz="0"/>
              <w:left w:val="single" w:color="E74C3C" w:sz="16"/>
              <w:bottom w:val="single" w:color="D0D8E4" w:sz="2"/>
              <w:right w:val="none" w:color="FFFFFF" w:sz="0"/>
            </w:tcBorders>
            <w:shd w:fill="FEF2F2" w:val="clear"/>
            <w:tcMar>
              <w:top w:type="dxa" w:w="100"/>
              <w:left w:type="dxa" w:w="220"/>
              <w:bottom w:type="dxa" w:w="100"/>
              <w:right w:type="dxa" w:w="180"/>
            </w:tcMar>
          </w:tcPr>
          <w:p>
            <w:pPr>
              <w:spacing w:after="0"/>
            </w:pPr>
            <w:r>
              <w:rPr>
                <w:rFonts w:ascii="Arial" w:cs="Arial" w:eastAsia="Arial" w:hAnsi="Arial"/>
                <w:color w:val="1A2332"/>
                <w:sz w:val="21"/>
                <w:szCs w:val="21"/>
              </w:rPr>
              <w:t xml:space="preserve">❌  Hacer cambios sin rollback plan — cada mitigación debe tener plan B para revertir.</w:t>
            </w:r>
          </w:p>
        </w:tc>
      </w:tr>
      <w:tr>
        <w:tc>
          <w:tcPr>
            <w:tcW w:type="dxa" w:w="9360"/>
            <w:tcBorders>
              <w:top w:val="none" w:color="FFFFFF" w:sz="0"/>
              <w:left w:val="single" w:color="E74C3C" w:sz="16"/>
              <w:bottom w:val="single" w:color="D0D8E4" w:sz="2"/>
              <w:right w:val="none" w:color="FFFFFF" w:sz="0"/>
            </w:tcBorders>
            <w:shd w:fill="FEF2F2" w:val="clear"/>
            <w:tcMar>
              <w:top w:type="dxa" w:w="100"/>
              <w:left w:type="dxa" w:w="220"/>
              <w:bottom w:type="dxa" w:w="100"/>
              <w:right w:type="dxa" w:w="180"/>
            </w:tcMar>
          </w:tcPr>
          <w:p>
            <w:pPr>
              <w:spacing w:after="0"/>
            </w:pPr>
            <w:r>
              <w:rPr>
                <w:rFonts w:ascii="Arial" w:cs="Arial" w:eastAsia="Arial" w:hAnsi="Arial"/>
                <w:color w:val="1A2332"/>
                <w:sz w:val="21"/>
                <w:szCs w:val="21"/>
              </w:rPr>
              <w:t xml:space="preserve">❌  Asignar culpables durante el incidente — el blame game es después (y ni eso). Ahora: solo resolver.</w:t>
            </w:r>
          </w:p>
        </w:tc>
      </w:tr>
      <w:tr>
        <w:tc>
          <w:tcPr>
            <w:tcW w:type="dxa" w:w="9360"/>
            <w:tcBorders>
              <w:top w:val="none" w:color="FFFFFF" w:sz="0"/>
              <w:left w:val="single" w:color="E74C3C" w:sz="16"/>
              <w:bottom w:val="single" w:color="D0D8E4" w:sz="2"/>
              <w:right w:val="none" w:color="FFFFFF" w:sz="0"/>
            </w:tcBorders>
            <w:shd w:fill="FEF2F2" w:val="clear"/>
            <w:tcMar>
              <w:top w:type="dxa" w:w="100"/>
              <w:left w:type="dxa" w:w="220"/>
              <w:bottom w:type="dxa" w:w="100"/>
              <w:right w:type="dxa" w:w="180"/>
            </w:tcMar>
          </w:tcPr>
          <w:p>
            <w:pPr>
              <w:spacing w:after="0"/>
            </w:pPr>
            <w:r>
              <w:rPr>
                <w:rFonts w:ascii="Arial" w:cs="Arial" w:eastAsia="Arial" w:hAnsi="Arial"/>
                <w:color w:val="1A2332"/>
                <w:sz w:val="21"/>
                <w:szCs w:val="21"/>
              </w:rPr>
              <w:t xml:space="preserve">❌  Ignorar el runbook — existen porque alguien ya pasó por esto. Síguelos antes de improvisar.</w:t>
            </w:r>
          </w:p>
        </w:tc>
      </w:tr>
    </w:tbl>
    <w:p>
      <w:pPr>
        <w:spacing w:after="300"/>
      </w:pPr>
      <w:r>
        <w:t xml:space="preserve"/>
      </w:r>
    </w:p>
    <w:p>
      <w:r>
        <w:br w:type="page"/>
      </w:r>
    </w:p>
    <w:p>
      <w:pPr>
        <w:shd w:fill="0D2137" w:val="clear"/>
        <w:spacing w:before="480" w:after="120"/>
        <w:ind w:left="360"/>
        <w:rPr>
          <w:color w:val="FFFFFF"/>
        </w:rPr>
      </w:pPr>
      <w:r>
        <w:rPr>
          <w:rFonts w:ascii="Arial" w:cs="Arial" w:eastAsia="Arial" w:hAnsi="Arial"/>
          <w:b/>
          <w:bCs/>
          <w:color w:val="FFFFFF"/>
          <w:sz w:val="52"/>
          <w:szCs w:val="52"/>
        </w:rPr>
        <w:t xml:space="preserve">CAPÍTULO 7: Los 6 Incidentes Simulados</w:t>
      </w:r>
    </w:p>
    <w:p>
      <w:pPr>
        <w:spacing w:after="80"/>
      </w:pPr>
      <w:r>
        <w:t xml:space="preserve"/>
      </w:r>
    </w:p>
    <w:p>
      <w:pPr>
        <w:spacing w:after="200"/>
        <w:jc w:val="both"/>
      </w:pPr>
      <w:r>
        <w:rPr>
          <w:rFonts w:ascii="Arial" w:cs="Arial" w:eastAsia="Arial" w:hAnsi="Arial"/>
          <w:color w:val="1A2332"/>
          <w:sz w:val="22"/>
          <w:szCs w:val="22"/>
        </w:rPr>
        <w:t xml:space="preserve">Aquí es donde se forjan los seniors. Cada incidente incluye contexto, síntomas, debugging paso a paso y lecciones aprendidas. Estúdialos como si fueran casos reales: porque lo son.</w:t>
      </w:r>
    </w:p>
    <w:p>
      <w:pPr>
        <w:pStyle w:val="Heading2"/>
        <w:pBdr>
          <w:bottom w:val="single" w:color="2D7DD2" w:sz="6" w:space="4"/>
        </w:pBdr>
        <w:spacing w:before="360" w:after="160"/>
      </w:pPr>
      <w:r>
        <w:rPr>
          <w:rFonts w:ascii="Arial" w:cs="Arial" w:eastAsia="Arial" w:hAnsi="Arial"/>
          <w:b/>
          <w:bCs/>
          <w:color w:val="0D2137"/>
          <w:sz w:val="36"/>
          <w:szCs w:val="36"/>
        </w:rPr>
        <w:t xml:space="preserve">Incidente #1: El Emisor Silencioso</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00"/>
        <w:gridCol w:w="6560"/>
      </w:tblGrid>
      <w:tr>
        <w:tc>
          <w:tcPr>
            <w:tcW w:type="dxa" w:w="2800"/>
            <w:tcBorders>
              <w:top w:val="single" w:color="D0D8E4" w:sz="4"/>
              <w:left w:val="single" w:color="D0D8E4" w:sz="4"/>
              <w:bottom w:val="single" w:color="D0D8E4" w:sz="4"/>
              <w:right w:val="single" w:color="D0D8E4" w:sz="4"/>
            </w:tcBorders>
            <w:shd w:fill="E74C3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Campo</w:t>
            </w:r>
          </w:p>
        </w:tc>
        <w:tc>
          <w:tcPr>
            <w:tcW w:type="dxa" w:w="6560"/>
            <w:tcBorders>
              <w:top w:val="single" w:color="D0D8E4" w:sz="4"/>
              <w:left w:val="single" w:color="D0D8E4" w:sz="4"/>
              <w:bottom w:val="single" w:color="D0D8E4" w:sz="4"/>
              <w:right w:val="single" w:color="D0D8E4" w:sz="4"/>
            </w:tcBorders>
            <w:shd w:fill="E74C3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Detalle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Contexto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Jueves 3:00 PM, hora pico en Brasil. Procesando transacciones para un gran banco emisor (Banco do Brasil).</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Síntomas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ASR global cae del 92% al 70% en 2 minutos. Alerta de burn rate P1 salta.</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Métricas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ASR para "Banco do Brasil" = 0%. Latencia hacia ese banco = 5 segundos y luego timeout.</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Logs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Connection timeout a socket del emisor después de 2,500ms. IOException al leer respuesta.</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Decisión Correcta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Activar modo Stand-In (STIP) para ese emisor con límites pre-acordados. IC comunica al equipo y a la red.</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Aprendizaje</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La dependencia de terceros es nuestro mayor riesgo. Necesitamos STIP automático y comunicación proactiva con la red emisora.</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Incidente #2: Tormenta de Reintentos — Black Friday</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00"/>
        <w:gridCol w:w="6560"/>
      </w:tblGrid>
      <w:tr>
        <w:tc>
          <w:tcPr>
            <w:tcW w:type="dxa" w:w="2800"/>
            <w:tcBorders>
              <w:top w:val="single" w:color="D0D8E4" w:sz="4"/>
              <w:left w:val="single" w:color="D0D8E4" w:sz="4"/>
              <w:bottom w:val="single" w:color="D0D8E4" w:sz="4"/>
              <w:right w:val="single" w:color="D0D8E4" w:sz="4"/>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Campo</w:t>
            </w:r>
          </w:p>
        </w:tc>
        <w:tc>
          <w:tcPr>
            <w:tcW w:type="dxa" w:w="6560"/>
            <w:tcBorders>
              <w:top w:val="single" w:color="D0D8E4" w:sz="4"/>
              <w:left w:val="single" w:color="D0D8E4" w:sz="4"/>
              <w:bottom w:val="single" w:color="D0D8E4" w:sz="4"/>
              <w:right w:val="single" w:color="D0D8E4" w:sz="4"/>
            </w:tcBorders>
            <w:shd w:fill="E67E2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Detalle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Contexto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Cyber Monday, 12:00 PM. Tráfico 3 veces el normal. Todo parece normal hasta que...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Síntomas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TPS se dispara a 10x lo normal. Servicios arrojan errores 503. BD muestra alto número de locks.</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Métricas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Gráfico de TPS en forma de diente de sierra — patrón de retry loop.</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Logs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Miles de entradas con mismo STAN pero diferentes timestamps. Un solo comercio reintentando agresivamente.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Decisión Correcta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Rate limiter a nivel de firewall para ese comercio. Llamar a soporte del comercio para corregir configuración de POS.</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Aprendizaje</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Los clientes mal configurados pueden ser armas de destrucción masiva. Rate limiting por cliente es OBLIGATORIO.</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Incidente #3: Desbordamiento del Contador STAN</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00"/>
        <w:gridCol w:w="6560"/>
      </w:tblGrid>
      <w:tr>
        <w:tc>
          <w:tcPr>
            <w:tcW w:type="dxa" w:w="2800"/>
            <w:tcBorders>
              <w:top w:val="single" w:color="D0D8E4" w:sz="4"/>
              <w:left w:val="single" w:color="D0D8E4" w:sz="4"/>
              <w:bottom w:val="single" w:color="D0D8E4" w:sz="4"/>
              <w:right w:val="single" w:color="D0D8E4" w:sz="4"/>
            </w:tcBorders>
            <w:shd w:fill="F39C1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Campo</w:t>
            </w:r>
          </w:p>
        </w:tc>
        <w:tc>
          <w:tcPr>
            <w:tcW w:type="dxa" w:w="6560"/>
            <w:tcBorders>
              <w:top w:val="single" w:color="D0D8E4" w:sz="4"/>
              <w:left w:val="single" w:color="D0D8E4" w:sz="4"/>
              <w:bottom w:val="single" w:color="D0D8E4" w:sz="4"/>
              <w:right w:val="single" w:color="D0D8E4" w:sz="4"/>
            </w:tcBorders>
            <w:shd w:fill="F39C1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Detalle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Contexto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1 de enero, 00:01 AM. Comienza el nuevo año. El sistema parece funcionar... hasta que no.</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Síntomas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Todas las transacciones nuevas fallan con error genérico. Tasa de error del 100%.</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Métricas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Sin timeouts — errores inmediatos. Latencia interna normal. El problema no es red.</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Logs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ERROR: duplicate key value violates unique constraint "transactions_pkey". STAN se reinició a 0.</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Decisión Correcta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Modificar lógica de generación del STAN para incluir año como prefijo (ej. 2400001 para 2024). Hotfix urgente.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Aprendizaje</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Los sistemas legacy tienen suposiciones que son trampas explosivas. Testing de fecha de fin de año es OBLIGATORIO.</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Incidente #4: Error de Red que No Era de Red</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00"/>
        <w:gridCol w:w="6560"/>
      </w:tblGrid>
      <w:tr>
        <w:tc>
          <w:tcPr>
            <w:tcW w:type="dxa" w:w="2800"/>
            <w:tcBorders>
              <w:top w:val="single" w:color="D0D8E4" w:sz="4"/>
              <w:left w:val="single" w:color="D0D8E4" w:sz="4"/>
              <w:bottom w:val="single" w:color="D0D8E4" w:sz="4"/>
              <w:right w:val="single" w:color="D0D8E4" w:sz="4"/>
            </w:tcBorders>
            <w:shd w:fill="2D7DD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Campo</w:t>
            </w:r>
          </w:p>
        </w:tc>
        <w:tc>
          <w:tcPr>
            <w:tcW w:type="dxa" w:w="6560"/>
            <w:tcBorders>
              <w:top w:val="single" w:color="D0D8E4" w:sz="4"/>
              <w:left w:val="single" w:color="D0D8E4" w:sz="4"/>
              <w:bottom w:val="single" w:color="D0D8E4" w:sz="4"/>
              <w:right w:val="single" w:color="D0D8E4" w:sz="4"/>
            </w:tcBorders>
            <w:shd w:fill="2D7DD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Detalle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Contexto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Migración de data center a la nube. Nuevo firewall corporativo instalado. Tráfico enrutado.</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Síntomas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0.1% de transacciones fallan con "MAC Invalid". Error intermitente y difícil de reproducir.</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Métricas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Error de seguridad, NO timeout. Checksums TCP/IP correctos. El problema es en capa de aplicación.</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Logs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ERROR: MAC verification failed for message with STAN X. Un byte en campo no crítico cambió en tránsito.</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Decisión Correcta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Deshabilitar Deep Packet Inspection (DPI) para el puerto del tráfico de pagos. El ISO 8583 es binario opaco.</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Aprendizaje</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NUNCA asumas que la red es inocente. El camino del mensaje está lleno de "optimizaciones" que destruyen la criptografía.</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Incidente #5: La Liquidación que No Cuadra</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00"/>
        <w:gridCol w:w="6560"/>
      </w:tblGrid>
      <w:tr>
        <w:tc>
          <w:tcPr>
            <w:tcW w:type="dxa" w:w="28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Campo</w:t>
            </w:r>
          </w:p>
        </w:tc>
        <w:tc>
          <w:tcPr>
            <w:tcW w:type="dxa" w:w="656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Detalle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Contexto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Lunes 8:00 AM. Equipo de finanzas reporta: archivo de liquidación del domingo no cuadra. Diferencia de $1,000,000.</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Síntomas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Sin caída técnica. Sin alertas en los dashboards. El problema no es uptime: es integridad de datos.</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Métricas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Extraer suma de transacciones aprobadas del domingo. Comparar con total del archivo de liquidación.</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Logs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Bug en proceso batch: al encontrar error de formato en UNA transacción, abortó el LOTE COMPLETO silenciosamente.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Decisión Correcta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Ejecutar conciliación manual. Generar archivo delta para enviar a cámara de compensación. Hotfix urgente al batch.</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Aprendizaje</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Confiabilidad NO es solo "el sistema está arriba". Es también "los datos son correctos". Los batches necesitan monitoreo de calidad.</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Incidente #6: Fallo de HSM por Agotamiento de Claves</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00"/>
        <w:gridCol w:w="6560"/>
      </w:tblGrid>
      <w:tr>
        <w:tc>
          <w:tcPr>
            <w:tcW w:type="dxa" w:w="2800"/>
            <w:tcBorders>
              <w:top w:val="single" w:color="D0D8E4" w:sz="4"/>
              <w:left w:val="single" w:color="D0D8E4" w:sz="4"/>
              <w:bottom w:val="single" w:color="D0D8E4" w:sz="4"/>
              <w:right w:val="single" w:color="D0D8E4" w:sz="4"/>
            </w:tcBorders>
            <w:shd w:fill="34495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Campo</w:t>
            </w:r>
          </w:p>
        </w:tc>
        <w:tc>
          <w:tcPr>
            <w:tcW w:type="dxa" w:w="6560"/>
            <w:tcBorders>
              <w:top w:val="single" w:color="D0D8E4" w:sz="4"/>
              <w:left w:val="single" w:color="D0D8E4" w:sz="4"/>
              <w:bottom w:val="single" w:color="D0D8E4" w:sz="4"/>
              <w:right w:val="single" w:color="D0D8E4" w:sz="4"/>
            </w:tcBorders>
            <w:shd w:fill="34495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Detalle</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Contexto</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Miércoles 2:00 PM. Tráfico normal en hora valle. Sin cambios recientes en producción.</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Síntomas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Transacciones empiezan a fallar con "MAC Invalid" y "PIN Verification Failed". ASR cae 15 puntos.</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Métricas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Error rate en HSM sube exponencialmente. Métrica "remaining_keys" en HSM muestra 0.</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Logs</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ERROR: HSM unable to sign. No more keys available. Error en todos los servicios que usan el HSM.</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Decisión Correcta</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Activar rotación automática de claves de emergencia. Implementar alerta preventiva cuando remaining_keys &lt; 10%.</w:t>
            </w:r>
          </w:p>
        </w:tc>
      </w:tr>
      <w:tr>
        <w:tc>
          <w:tcPr>
            <w:tcW w:type="dxa" w:w="28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 Aprendizaje</w:t>
            </w:r>
          </w:p>
        </w:tc>
        <w:tc>
          <w:tcPr>
            <w:tcW w:type="dxa" w:w="65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El HSM es un componente crítico que puede DEGRADARSE sin caer. Monitorear capacidad (claves, sesiones) es tan crítico como uptime.</w:t>
            </w:r>
          </w:p>
        </w:tc>
      </w:tr>
    </w:tbl>
    <w:p>
      <w:pPr>
        <w:spacing w:after="200"/>
      </w:pPr>
      <w:r>
        <w:t xml:space="preserve"/>
      </w:r>
    </w:p>
    <w:p>
      <w:r>
        <w:br w:type="page"/>
      </w:r>
    </w:p>
    <w:p>
      <w:pPr>
        <w:shd w:fill="0D2137" w:val="clear"/>
        <w:spacing w:before="480" w:after="120"/>
        <w:ind w:left="360"/>
        <w:rPr>
          <w:color w:val="FFFFFF"/>
        </w:rPr>
      </w:pPr>
      <w:r>
        <w:rPr>
          <w:rFonts w:ascii="Arial" w:cs="Arial" w:eastAsia="Arial" w:hAnsi="Arial"/>
          <w:b/>
          <w:bCs/>
          <w:color w:val="FFFFFF"/>
          <w:sz w:val="52"/>
          <w:szCs w:val="52"/>
        </w:rPr>
        <w:t xml:space="preserve">CAPÍTULO 8: Roadmap de Carrera — NOC a Staff SRE</w:t>
      </w:r>
    </w:p>
    <w:p>
      <w:pPr>
        <w:spacing w:after="80"/>
      </w:pPr>
      <w:r>
        <w:t xml:space="preserve"/>
      </w:r>
    </w:p>
    <w:p>
      <w:pPr>
        <w:spacing w:after="200"/>
        <w:jc w:val="both"/>
      </w:pPr>
      <w:r>
        <w:rPr>
          <w:rFonts w:ascii="Arial" w:cs="Arial" w:eastAsia="Arial" w:hAnsi="Arial"/>
          <w:color w:val="1A2332"/>
          <w:sz w:val="22"/>
          <w:szCs w:val="22"/>
        </w:rPr>
        <w:t xml:space="preserve">Este es tu camino de batalla. La hoja de ruta ejecutable para evolucionar de operador de NOC a Staff SRE en 24 meses, con habilidades técnicas, proyectos recomendados y métricas personales por etapa.</w:t>
      </w:r>
    </w:p>
    <w:p>
      <w:pPr>
        <w:pStyle w:val="Heading2"/>
        <w:pBdr>
          <w:bottom w:val="single" w:color="2D7DD2" w:sz="6" w:space="4"/>
        </w:pBdr>
        <w:spacing w:before="360" w:after="160"/>
      </w:pPr>
      <w:r>
        <w:rPr>
          <w:rFonts w:ascii="Arial" w:cs="Arial" w:eastAsia="Arial" w:hAnsi="Arial"/>
          <w:b/>
          <w:bCs/>
          <w:color w:val="0D2137"/>
          <w:sz w:val="36"/>
          <w:szCs w:val="36"/>
        </w:rPr>
        <w:t xml:space="preserve">Plan de Transición en 4 Fases (12 Meses)</w:t>
      </w:r>
    </w:p>
    <w:p>
      <w:pPr>
        <w:pStyle w:val="Heading3"/>
        <w:spacing w:before="240" w:after="100"/>
      </w:pPr>
      <w:r>
        <w:rPr>
          <w:rFonts w:ascii="Arial" w:cs="Arial" w:eastAsia="Arial" w:hAnsi="Arial"/>
          <w:b/>
          <w:bCs/>
          <w:color w:val="1A3A5C"/>
          <w:sz w:val="28"/>
          <w:szCs w:val="28"/>
        </w:rPr>
        <w:t xml:space="preserve">FASE 1: Fundamentos de Ingeniería de Confiabilidad (Meses 0-3)</w:t>
      </w:r>
    </w:p>
    <w:p>
      <w:pPr>
        <w:spacing w:after="120"/>
        <w:jc w:val="both"/>
      </w:pPr>
      <w:r>
        <w:rPr>
          <w:rFonts w:ascii="Arial" w:cs="Arial" w:eastAsia="Arial" w:hAnsi="Arial"/>
          <w:b/>
          <w:bCs/>
          <w:color w:val="1A2332"/>
          <w:sz w:val="22"/>
          <w:szCs w:val="22"/>
        </w:rPr>
        <w:t xml:space="preserve">Objetivo: Comprender completamente el flujo transaccional. Pasar de reacción a comprensión sistémica.</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Acciones</w:t>
            </w:r>
          </w:p>
        </w:tc>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Entregables</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Estudiar ISO 8583 (MTI, Bitmap, DE11, DE37, DE39)</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Documento de RCAs técnicos con análisis de causa raíz</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Dibujar el flujo POS → Acquirer → Switch → Network → Issuer</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Mapa del flujo transaccional completo dibujado a mano y digital</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Analizar 3 incidentes reales y documentar RCAs técnicos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Baseline de latencias: P50, P95, P99 de cada componente</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Medir manualmente latencias y tiempos de respuesta en producción</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Glosario personal de términos de pagos y sus implicaciones</w:t>
            </w:r>
          </w:p>
        </w:tc>
      </w:tr>
    </w:tbl>
    <w:p>
      <w:pPr>
        <w:spacing w:after="200"/>
      </w:pPr>
      <w:r>
        <w:t xml:space="preserve"/>
      </w:r>
    </w:p>
    <w:p>
      <w:pPr>
        <w:pStyle w:val="Heading3"/>
        <w:spacing w:before="240" w:after="100"/>
      </w:pPr>
      <w:r>
        <w:rPr>
          <w:rFonts w:ascii="Arial" w:cs="Arial" w:eastAsia="Arial" w:hAnsi="Arial"/>
          <w:b/>
          <w:bCs/>
          <w:color w:val="1A3A5C"/>
          <w:sz w:val="28"/>
          <w:szCs w:val="28"/>
        </w:rPr>
        <w:t xml:space="preserve">FASE 2: Automatización y Observabilidad (Meses 3-6)</w:t>
      </w:r>
    </w:p>
    <w:p>
      <w:pPr>
        <w:spacing w:after="120"/>
        <w:jc w:val="both"/>
      </w:pPr>
      <w:r>
        <w:rPr>
          <w:rFonts w:ascii="Arial" w:cs="Arial" w:eastAsia="Arial" w:hAnsi="Arial"/>
          <w:b/>
          <w:bCs/>
          <w:color w:val="1A2332"/>
          <w:sz w:val="22"/>
          <w:szCs w:val="22"/>
        </w:rPr>
        <w:t xml:space="preserve">Objetivo: Automatizar análisis repetitivos. Crear visibilidad técnica donde hoy solo hay monitoreo pasivo.</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Acciones</w:t>
            </w:r>
          </w:p>
        </w:tc>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Entregables</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Desarrollar scripts en Python/Node.js para correlación de logs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Script funcional de análisis de logs con correlación de STAN</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Construir dashboards propios (latencia, TPS, declines por emisor)</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Dashboard técnico operativo deployado en Grafana</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Identificar métricas faltantes en el sistema actual</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Documento con gaps de observabilidad y propuestas de mejora</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Proponer mejoras de alertas preventivas basadas en negocio</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Al menos 3 alertas nuevas basadas en SLIs de negocio</w:t>
            </w:r>
          </w:p>
        </w:tc>
      </w:tr>
    </w:tbl>
    <w:p>
      <w:pPr>
        <w:spacing w:after="200"/>
      </w:pPr>
      <w:r>
        <w:t xml:space="preserve"/>
      </w:r>
    </w:p>
    <w:p>
      <w:pPr>
        <w:pStyle w:val="Heading3"/>
        <w:spacing w:before="240" w:after="100"/>
      </w:pPr>
      <w:r>
        <w:rPr>
          <w:rFonts w:ascii="Arial" w:cs="Arial" w:eastAsia="Arial" w:hAnsi="Arial"/>
          <w:b/>
          <w:bCs/>
          <w:color w:val="1A3A5C"/>
          <w:sz w:val="28"/>
          <w:szCs w:val="28"/>
        </w:rPr>
        <w:t xml:space="preserve">FASE 3: Ingeniería SRE Aplicada (Meses 6-9)</w:t>
      </w:r>
    </w:p>
    <w:p>
      <w:pPr>
        <w:spacing w:after="120"/>
        <w:jc w:val="both"/>
      </w:pPr>
      <w:r>
        <w:rPr>
          <w:rFonts w:ascii="Arial" w:cs="Arial" w:eastAsia="Arial" w:hAnsi="Arial"/>
          <w:b/>
          <w:bCs/>
          <w:color w:val="1A2332"/>
          <w:sz w:val="22"/>
          <w:szCs w:val="22"/>
        </w:rPr>
        <w:t xml:space="preserve">Objetivo: Pensar en términos de confiabilidad, no de incidentes aislados. Proactividad sobre reactividad.</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Acciones</w:t>
            </w:r>
          </w:p>
        </w:tc>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Entregables</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Definir SLIs, SLOs y Error Budgets para servicios críticos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Documento SLI/SLO propuesto y aprobado por el equipo</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Analizar patrones históricos de incidentes (¿cuándo? ¿por qué?)</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Reporte de patrones: top 5 causas raíz de incidentes pasados</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Participar activamente en postmortems técnicos como scribe/contributor</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Haber liderado al menos 1 postmortem blameless completo</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Implementar automatizaciones preventivas: rotación de claves, STIP, etc.</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Al menos 1 automatización preventiva en producción</w:t>
            </w:r>
          </w:p>
        </w:tc>
      </w:tr>
    </w:tbl>
    <w:p>
      <w:pPr>
        <w:spacing w:after="200"/>
      </w:pPr>
      <w:r>
        <w:t xml:space="preserve"/>
      </w:r>
    </w:p>
    <w:p>
      <w:pPr>
        <w:pStyle w:val="Heading3"/>
        <w:spacing w:before="240" w:after="100"/>
      </w:pPr>
      <w:r>
        <w:rPr>
          <w:rFonts w:ascii="Arial" w:cs="Arial" w:eastAsia="Arial" w:hAnsi="Arial"/>
          <w:b/>
          <w:bCs/>
          <w:color w:val="1A3A5C"/>
          <w:sz w:val="28"/>
          <w:szCs w:val="28"/>
        </w:rPr>
        <w:t xml:space="preserve">FASE 4: Perfil Referente Técnico (Meses 9-12)</w:t>
      </w:r>
    </w:p>
    <w:p>
      <w:pPr>
        <w:spacing w:after="120"/>
        <w:jc w:val="both"/>
      </w:pPr>
      <w:r>
        <w:rPr>
          <w:rFonts w:ascii="Arial" w:cs="Arial" w:eastAsia="Arial" w:hAnsi="Arial"/>
          <w:b/>
          <w:bCs/>
          <w:color w:val="1A2332"/>
          <w:sz w:val="22"/>
          <w:szCs w:val="22"/>
        </w:rPr>
        <w:t xml:space="preserve">Objetivo: Convertirse en la referencia técnica del equipo en sistemas de pagos. El go-to person.</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4680"/>
        <w:gridCol w:w="4680"/>
      </w:tblGrid>
      <w:tr>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Acciones</w:t>
            </w:r>
          </w:p>
        </w:tc>
        <w:tc>
          <w:tcPr>
            <w:tcW w:type="dxa" w:w="4680"/>
            <w:tcBorders>
              <w:top w:val="single" w:color="2D7DD2" w:sz="4"/>
              <w:left w:val="single" w:color="2D7DD2" w:sz="4"/>
              <w:bottom w:val="single" w:color="2D7DD2" w:sz="4"/>
              <w:right w:val="single" w:color="2D7DD2" w:sz="4"/>
            </w:tcBorders>
            <w:shd w:fill="1A3A5C" w:val="clear"/>
            <w:tcMar>
              <w:top w:type="dxa" w:w="100"/>
              <w:left w:type="dxa" w:w="180"/>
              <w:bottom w:type="dxa" w:w="100"/>
              <w:right w:type="dxa" w:w="180"/>
            </w:tcMar>
          </w:tcPr>
          <w:p>
            <w:r>
              <w:rPr>
                <w:rFonts w:ascii="Arial" w:cs="Arial" w:eastAsia="Arial" w:hAnsi="Arial"/>
                <w:b/>
                <w:bCs/>
                <w:color w:val="FFFFFF"/>
                <w:sz w:val="22"/>
                <w:szCs w:val="22"/>
              </w:rPr>
              <w:t xml:space="preserve">Entregables</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Liderar análisis técnicos durante incidentes críticos como Technical Lead</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Haber liderado respuesta técnica en al menos 1 incidente P1 o P0</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Diseñar mejoras de observabilidad y proponer nuevas capacidades</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Propuesta de mejora sistémica aprobada y en roadmap de ingeniería</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Proponer y ejecutar capacity planning para picos de tráfico</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Plan de capacity para próximo Black Friday / Cyber Monday</w:t>
            </w:r>
          </w:p>
        </w:tc>
      </w:tr>
      <w:tr>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Documentar conocimiento operativo crítico para el equipo</w:t>
            </w:r>
          </w:p>
        </w:tc>
        <w:tc>
          <w:tcPr>
            <w:tcW w:type="dxa" w:w="4680"/>
            <w:tcBorders>
              <w:top w:val="single" w:color="D0D8E4" w:sz="4"/>
              <w:left w:val="single" w:color="D0D8E4" w:sz="4"/>
              <w:bottom w:val="single" w:color="D0D8E4" w:sz="4"/>
              <w:right w:val="single" w:color="D0D8E4" w:sz="4"/>
            </w:tcBorders>
            <w:shd w:fill="FFFFFF" w:val="clear"/>
            <w:tcMar>
              <w:top w:type="dxa" w:w="100"/>
              <w:left w:type="dxa" w:w="180"/>
              <w:bottom w:type="dxa" w:w="100"/>
              <w:right w:type="dxa" w:w="180"/>
            </w:tcMar>
          </w:tcPr>
          <w:p>
            <w:pPr>
              <w:spacing w:after="0"/>
            </w:pPr>
            <w:r>
              <w:rPr>
                <w:rFonts w:ascii="Arial" w:cs="Arial" w:eastAsia="Arial" w:hAnsi="Arial"/>
                <w:color w:val="1A2332"/>
                <w:sz w:val="22"/>
                <w:szCs w:val="22"/>
              </w:rPr>
              <w:t xml:space="preserve">Wiki técnica reutilizada activamente por el equipo</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Roadmap Extendido: Hacia Staff SRE (Meses 12-24)</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340"/>
        <w:gridCol w:w="2340"/>
        <w:gridCol w:w="2340"/>
        <w:gridCol w:w="2340"/>
      </w:tblGrid>
      <w:tr>
        <w:tc>
          <w:tcPr>
            <w:tcW w:type="dxa" w:w="234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Etapa</w:t>
            </w:r>
          </w:p>
        </w:tc>
        <w:tc>
          <w:tcPr>
            <w:tcW w:type="dxa" w:w="234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NOC Operator</w:t>
            </w:r>
          </w:p>
        </w:tc>
        <w:tc>
          <w:tcPr>
            <w:tcW w:type="dxa" w:w="234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SRE</w:t>
            </w:r>
          </w:p>
        </w:tc>
        <w:tc>
          <w:tcPr>
            <w:tcW w:type="dxa" w:w="234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Senior / Staff SRE</w:t>
            </w:r>
          </w:p>
        </w:tc>
      </w:tr>
      <w:tr>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Timeframe</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0-6 meses</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6-18 meses</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18-24+ meses</w:t>
            </w:r>
          </w:p>
        </w:tc>
      </w:tr>
      <w:tr>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Foco técnico</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Dashboards, runbooks, ISO 8583</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Python, K8s, SLOs, Terraform</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Distributed systems, active-active</w:t>
            </w:r>
          </w:p>
        </w:tc>
      </w:tr>
      <w:tr>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Foco de negocio</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Triage, comunicación clara</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Postmortems, SLOs, equipos dev</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Strategy, roadmap, mentoring</w:t>
            </w:r>
          </w:p>
        </w:tc>
      </w:tr>
      <w:tr>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Proyecto clave</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Mejorar runbook existente</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Build ASR dashboard en tiempo real</w:t>
            </w:r>
          </w:p>
        </w:tc>
        <w:tc>
          <w:tcPr>
            <w:tcW w:type="dxa" w:w="234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Diseñar estrategia active-active</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Plan de Estudio Autodidacta — Recursos Esenciales</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200"/>
        <w:gridCol w:w="7160"/>
      </w:tblGrid>
      <w:tr>
        <w:tc>
          <w:tcPr>
            <w:tcW w:type="dxa" w:w="220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Área</w:t>
            </w:r>
          </w:p>
        </w:tc>
        <w:tc>
          <w:tcPr>
            <w:tcW w:type="dxa" w:w="7160"/>
            <w:tcBorders>
              <w:top w:val="single" w:color="D0D8E4" w:sz="4"/>
              <w:left w:val="single" w:color="D0D8E4" w:sz="4"/>
              <w:bottom w:val="single" w:color="D0D8E4" w:sz="4"/>
              <w:right w:val="single" w:color="D0D8E4" w:sz="4"/>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Recursos</w:t>
            </w:r>
          </w:p>
        </w:tc>
      </w:tr>
      <w:tr>
        <w:tc>
          <w:tcPr>
            <w:tcW w:type="dxa" w:w="22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Sistemas Distribuidos</w:t>
            </w:r>
          </w:p>
        </w:tc>
        <w:tc>
          <w:tcPr>
            <w:tcW w:type="dxa" w:w="7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"Designing Data-Intensive Applications" — Kleppmann. CAP theorem, timeouts, circuit breakers, bulkheads, idempotencia.</w:t>
            </w:r>
          </w:p>
        </w:tc>
      </w:tr>
      <w:tr>
        <w:tc>
          <w:tcPr>
            <w:tcW w:type="dxa" w:w="22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ISO 8583</w:t>
            </w:r>
          </w:p>
        </w:tc>
        <w:tc>
          <w:tcPr>
            <w:tcW w:type="dxa" w:w="7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Especificación ISO 8583 oficial. Guías de Visa/Mastercard para desarrolladores. Wireshark con plugin ISO 8583.</w:t>
            </w:r>
          </w:p>
        </w:tc>
      </w:tr>
      <w:tr>
        <w:tc>
          <w:tcPr>
            <w:tcW w:type="dxa" w:w="22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SRE y Confiabilidad</w:t>
            </w:r>
          </w:p>
        </w:tc>
        <w:tc>
          <w:tcPr>
            <w:tcW w:type="dxa" w:w="7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"Site Reliability Engineering" y "The Site Reliability Workbook" — Google (gratuitos online). SLIs, SLOs, Error Budgets, Toil.</w:t>
            </w:r>
          </w:p>
        </w:tc>
      </w:tr>
      <w:tr>
        <w:tc>
          <w:tcPr>
            <w:tcW w:type="dxa" w:w="22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Observabilidad</w:t>
            </w:r>
          </w:p>
        </w:tc>
        <w:tc>
          <w:tcPr>
            <w:tcW w:type="dxa" w:w="7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Prometheus docs, OpenTelemetry docs, "Prometheus deep dive" — CNCF. "Practical Alerting" — Grafana Labs.</w:t>
            </w:r>
          </w:p>
        </w:tc>
      </w:tr>
      <w:tr>
        <w:tc>
          <w:tcPr>
            <w:tcW w:type="dxa" w:w="22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Arquitectura de Pagos</w:t>
            </w:r>
          </w:p>
        </w:tc>
        <w:tc>
          <w:tcPr>
            <w:tcW w:type="dxa" w:w="7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Visa Developer Center. Mastercard Developers. Flujo de autorización, clearing vs. settlement, 3D Secure.</w:t>
            </w:r>
          </w:p>
        </w:tc>
      </w:tr>
      <w:tr>
        <w:tc>
          <w:tcPr>
            <w:tcW w:type="dxa" w:w="220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Programación SRE</w:t>
            </w:r>
          </w:p>
        </w:tc>
        <w:tc>
          <w:tcPr>
            <w:tcW w:type="dxa" w:w="716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1A2332"/>
                <w:sz w:val="20"/>
                <w:szCs w:val="20"/>
              </w:rPr>
              <w:t xml:space="preserve">"The Go Programming Language" — Donovan &amp; Kernighan. Tour of Go. Escribir un proxy TCP que parsee ISO 8583.</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Checklist de Guardia SRE — Inicio de Turno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pPr>
            <w:r>
              <w:rPr>
                <w:rFonts w:ascii="Arial" w:cs="Arial" w:eastAsia="Arial" w:hAnsi="Arial"/>
                <w:b/>
                <w:bCs/>
                <w:color w:val="2D7DD2"/>
                <w:sz w:val="24"/>
                <w:szCs w:val="24"/>
              </w:rPr>
              <w:t xml:space="preserve">☐</w:t>
            </w:r>
          </w:p>
        </w:tc>
        <w:tc>
          <w:tcPr>
            <w:tcW w:type="dxa" w:w="8720"/>
            <w:tcBorders>
              <w:top w:val="none" w:color="FFFFFF" w:sz="0"/>
              <w:left w:val="none" w:color="FFFFFF" w:sz="0"/>
              <w:bottom w:val="single" w:color="D0D8E4" w:sz="2"/>
              <w:right w:val="none" w:color="FFFFFF" w:sz="0"/>
            </w:tcBorders>
            <w:tcMar>
              <w:top w:type="dxa" w:w="80"/>
              <w:left w:type="dxa" w:w="120"/>
              <w:bottom w:type="dxa" w:w="80"/>
              <w:right w:type="dxa" w:w="60"/>
            </w:tcMar>
          </w:tcPr>
          <w:p>
            <w:pPr>
              <w:spacing w:after="0"/>
            </w:pPr>
            <w:r>
              <w:rPr>
                <w:rFonts w:ascii="Arial" w:cs="Arial" w:eastAsia="Arial" w:hAnsi="Arial"/>
                <w:color w:val="1A2332"/>
                <w:sz w:val="21"/>
                <w:szCs w:val="21"/>
              </w:rPr>
              <w:t xml:space="preserve">¿Hay incidente activo o degradación? → Verificar dashboards y alertas pendientes</w:t>
            </w:r>
          </w:p>
        </w:tc>
      </w:tr>
      <w:tr>
        <w:tc>
          <w:tcPr>
            <w:tcW w:type="dxa" w:w="64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pPr>
            <w:r>
              <w:rPr>
                <w:rFonts w:ascii="Arial" w:cs="Arial" w:eastAsia="Arial" w:hAnsi="Arial"/>
                <w:b/>
                <w:bCs/>
                <w:color w:val="2D7DD2"/>
                <w:sz w:val="24"/>
                <w:szCs w:val="24"/>
              </w:rPr>
              <w:t xml:space="preserve">☐</w:t>
            </w:r>
          </w:p>
        </w:tc>
        <w:tc>
          <w:tcPr>
            <w:tcW w:type="dxa" w:w="8720"/>
            <w:tcBorders>
              <w:top w:val="none" w:color="FFFFFF" w:sz="0"/>
              <w:left w:val="none" w:color="FFFFFF" w:sz="0"/>
              <w:bottom w:val="single" w:color="D0D8E4" w:sz="2"/>
              <w:right w:val="none" w:color="FFFFFF" w:sz="0"/>
            </w:tcBorders>
            <w:tcMar>
              <w:top w:type="dxa" w:w="80"/>
              <w:left w:type="dxa" w:w="120"/>
              <w:bottom w:type="dxa" w:w="80"/>
              <w:right w:type="dxa" w:w="60"/>
            </w:tcMar>
          </w:tcPr>
          <w:p>
            <w:pPr>
              <w:spacing w:after="0"/>
            </w:pPr>
            <w:r>
              <w:rPr>
                <w:rFonts w:ascii="Arial" w:cs="Arial" w:eastAsia="Arial" w:hAnsi="Arial"/>
                <w:color w:val="1A2332"/>
                <w:sz w:val="21"/>
                <w:szCs w:val="21"/>
              </w:rPr>
              <w:t xml:space="preserve">¿Hay cambios planificados en producción? → Confirmar que existe rollback plan documentado</w:t>
            </w:r>
          </w:p>
        </w:tc>
      </w:tr>
      <w:tr>
        <w:tc>
          <w:tcPr>
            <w:tcW w:type="dxa" w:w="64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pPr>
            <w:r>
              <w:rPr>
                <w:rFonts w:ascii="Arial" w:cs="Arial" w:eastAsia="Arial" w:hAnsi="Arial"/>
                <w:b/>
                <w:bCs/>
                <w:color w:val="2D7DD2"/>
                <w:sz w:val="24"/>
                <w:szCs w:val="24"/>
              </w:rPr>
              <w:t xml:space="preserve">☐</w:t>
            </w:r>
          </w:p>
        </w:tc>
        <w:tc>
          <w:tcPr>
            <w:tcW w:type="dxa" w:w="8720"/>
            <w:tcBorders>
              <w:top w:val="none" w:color="FFFFFF" w:sz="0"/>
              <w:left w:val="none" w:color="FFFFFF" w:sz="0"/>
              <w:bottom w:val="single" w:color="D0D8E4" w:sz="2"/>
              <w:right w:val="none" w:color="FFFFFF" w:sz="0"/>
            </w:tcBorders>
            <w:tcMar>
              <w:top w:type="dxa" w:w="80"/>
              <w:left w:type="dxa" w:w="120"/>
              <w:bottom w:type="dxa" w:w="80"/>
              <w:right w:type="dxa" w:w="60"/>
            </w:tcMar>
          </w:tcPr>
          <w:p>
            <w:pPr>
              <w:spacing w:after="0"/>
            </w:pPr>
            <w:r>
              <w:rPr>
                <w:rFonts w:ascii="Arial" w:cs="Arial" w:eastAsia="Arial" w:hAnsi="Arial"/>
                <w:color w:val="1A2332"/>
                <w:sz w:val="21"/>
                <w:szCs w:val="21"/>
              </w:rPr>
              <w:t xml:space="preserve">¿Los dashboards muestran métricas normales? → ASR, latencia, error budget dentro de rangos</w:t>
            </w:r>
          </w:p>
        </w:tc>
      </w:tr>
      <w:tr>
        <w:tc>
          <w:tcPr>
            <w:tcW w:type="dxa" w:w="64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pPr>
            <w:r>
              <w:rPr>
                <w:rFonts w:ascii="Arial" w:cs="Arial" w:eastAsia="Arial" w:hAnsi="Arial"/>
                <w:b/>
                <w:bCs/>
                <w:color w:val="2D7DD2"/>
                <w:sz w:val="24"/>
                <w:szCs w:val="24"/>
              </w:rPr>
              <w:t xml:space="preserve">☐</w:t>
            </w:r>
          </w:p>
        </w:tc>
        <w:tc>
          <w:tcPr>
            <w:tcW w:type="dxa" w:w="8720"/>
            <w:tcBorders>
              <w:top w:val="none" w:color="FFFFFF" w:sz="0"/>
              <w:left w:val="none" w:color="FFFFFF" w:sz="0"/>
              <w:bottom w:val="single" w:color="D0D8E4" w:sz="2"/>
              <w:right w:val="none" w:color="FFFFFF" w:sz="0"/>
            </w:tcBorders>
            <w:tcMar>
              <w:top w:type="dxa" w:w="80"/>
              <w:left w:type="dxa" w:w="120"/>
              <w:bottom w:type="dxa" w:w="80"/>
              <w:right w:type="dxa" w:w="60"/>
            </w:tcMar>
          </w:tcPr>
          <w:p>
            <w:pPr>
              <w:spacing w:after="0"/>
            </w:pPr>
            <w:r>
              <w:rPr>
                <w:rFonts w:ascii="Arial" w:cs="Arial" w:eastAsia="Arial" w:hAnsi="Arial"/>
                <w:color w:val="1A2332"/>
                <w:sz w:val="21"/>
                <w:szCs w:val="21"/>
              </w:rPr>
              <w:t xml:space="preserve">¿He leído los runbooks actualizados? → Servicios core y procedimientos de emergencia</w:t>
            </w:r>
          </w:p>
        </w:tc>
      </w:tr>
      <w:tr>
        <w:tc>
          <w:tcPr>
            <w:tcW w:type="dxa" w:w="64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pPr>
            <w:r>
              <w:rPr>
                <w:rFonts w:ascii="Arial" w:cs="Arial" w:eastAsia="Arial" w:hAnsi="Arial"/>
                <w:b/>
                <w:bCs/>
                <w:color w:val="2D7DD2"/>
                <w:sz w:val="24"/>
                <w:szCs w:val="24"/>
              </w:rPr>
              <w:t xml:space="preserve">☐</w:t>
            </w:r>
          </w:p>
        </w:tc>
        <w:tc>
          <w:tcPr>
            <w:tcW w:type="dxa" w:w="8720"/>
            <w:tcBorders>
              <w:top w:val="none" w:color="FFFFFF" w:sz="0"/>
              <w:left w:val="none" w:color="FFFFFF" w:sz="0"/>
              <w:bottom w:val="single" w:color="D0D8E4" w:sz="2"/>
              <w:right w:val="none" w:color="FFFFFF" w:sz="0"/>
            </w:tcBorders>
            <w:tcMar>
              <w:top w:type="dxa" w:w="80"/>
              <w:left w:type="dxa" w:w="120"/>
              <w:bottom w:type="dxa" w:w="80"/>
              <w:right w:type="dxa" w:w="60"/>
            </w:tcMar>
          </w:tcPr>
          <w:p>
            <w:pPr>
              <w:spacing w:after="0"/>
            </w:pPr>
            <w:r>
              <w:rPr>
                <w:rFonts w:ascii="Arial" w:cs="Arial" w:eastAsia="Arial" w:hAnsi="Arial"/>
                <w:color w:val="1A2332"/>
                <w:sz w:val="21"/>
                <w:szCs w:val="21"/>
              </w:rPr>
              <w:t xml:space="preserve">¿Tengo acceso a todos los sistemas? → VPN, consolas, servidores de logs, herramientas de on-call</w:t>
            </w:r>
          </w:p>
        </w:tc>
      </w:tr>
      <w:tr>
        <w:tc>
          <w:tcPr>
            <w:tcW w:type="dxa" w:w="64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pPr>
            <w:r>
              <w:rPr>
                <w:rFonts w:ascii="Arial" w:cs="Arial" w:eastAsia="Arial" w:hAnsi="Arial"/>
                <w:b/>
                <w:bCs/>
                <w:color w:val="2D7DD2"/>
                <w:sz w:val="24"/>
                <w:szCs w:val="24"/>
              </w:rPr>
              <w:t xml:space="preserve">☐</w:t>
            </w:r>
          </w:p>
        </w:tc>
        <w:tc>
          <w:tcPr>
            <w:tcW w:type="dxa" w:w="8720"/>
            <w:tcBorders>
              <w:top w:val="none" w:color="FFFFFF" w:sz="0"/>
              <w:left w:val="none" w:color="FFFFFF" w:sz="0"/>
              <w:bottom w:val="single" w:color="D0D8E4" w:sz="2"/>
              <w:right w:val="none" w:color="FFFFFF" w:sz="0"/>
            </w:tcBorders>
            <w:tcMar>
              <w:top w:type="dxa" w:w="80"/>
              <w:left w:type="dxa" w:w="120"/>
              <w:bottom w:type="dxa" w:w="80"/>
              <w:right w:type="dxa" w:w="60"/>
            </w:tcMar>
          </w:tcPr>
          <w:p>
            <w:pPr>
              <w:spacing w:after="0"/>
            </w:pPr>
            <w:r>
              <w:rPr>
                <w:rFonts w:ascii="Arial" w:cs="Arial" w:eastAsia="Arial" w:hAnsi="Arial"/>
                <w:color w:val="1A2332"/>
                <w:sz w:val="21"/>
                <w:szCs w:val="21"/>
              </w:rPr>
              <w:t xml:space="preserve">¿El teléfono tiene batería y la app de alertas funciona? → Probar notificación</w:t>
            </w:r>
          </w:p>
        </w:tc>
      </w:tr>
    </w:tbl>
    <w:p>
      <w:pPr>
        <w:spacing w:after="200"/>
      </w:pPr>
      <w:r>
        <w:t xml:space="preserve"/>
      </w:r>
    </w:p>
    <w:p>
      <w:pPr>
        <w:pStyle w:val="Heading2"/>
        <w:pBdr>
          <w:bottom w:val="single" w:color="2D7DD2" w:sz="6" w:space="4"/>
        </w:pBdr>
        <w:spacing w:before="360" w:after="160"/>
      </w:pPr>
      <w:r>
        <w:rPr>
          <w:rFonts w:ascii="Arial" w:cs="Arial" w:eastAsia="Arial" w:hAnsi="Arial"/>
          <w:b/>
          <w:bCs/>
          <w:color w:val="0D2137"/>
          <w:sz w:val="36"/>
          <w:szCs w:val="36"/>
        </w:rPr>
        <w:t xml:space="preserve">Plantilla de Postmortem Blameless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E2D3D" w:val="clear"/>
            <w:tcMar>
              <w:top w:type="dxa" w:w="180"/>
              <w:left w:type="dxa" w:w="240"/>
              <w:bottom w:type="dxa" w:w="180"/>
              <w:right w:type="dxa" w:w="240"/>
            </w:tcMar>
          </w:tcPr>
          <w:p>
            <w:pPr>
              <w:spacing w:after="40"/>
            </w:pPr>
            <w:r>
              <w:rPr>
                <w:rFonts w:ascii="Courier New" w:cs="Courier New" w:eastAsia="Courier New" w:hAnsi="Courier New"/>
                <w:color w:val="7EC8E3"/>
                <w:sz w:val="18"/>
                <w:szCs w:val="18"/>
              </w:rPr>
              <w:t xml:space="preserve">POSTMORTEM — [FECHA] — [Descripción breve del incidente]</w:t>
            </w:r>
          </w:p>
          <w:p>
            <w:pPr>
              <w:spacing w:after="40"/>
            </w:pPr>
            <w:r>
              <w:rPr>
                <w:rFonts w:ascii="Courier New" w:cs="Courier New" w:eastAsia="Courier New" w:hAnsi="Courier New"/>
                <w:color w:val="7EC8E3"/>
                <w:sz w:val="18"/>
                <w:szCs w:val="18"/>
              </w:rPr>
              <w:t xml:space="preserve">═══════════════════════════════════════════════════════════</w:t>
            </w:r>
          </w:p>
          <w:p>
            <w:pPr>
              <w:spacing w:after="40"/>
            </w:pPr>
            <w:r>
              <w:rPr>
                <w:rFonts w:ascii="Courier New" w:cs="Courier New" w:eastAsia="Courier New" w:hAnsi="Courier New"/>
                <w:color w:val="7EC8E3"/>
                <w:sz w:val="18"/>
                <w:szCs w:val="18"/>
              </w:rPr>
              <w:t xml:space="preserve">Estado: Borrador | En revisión | Final</w:t>
            </w:r>
          </w:p>
          <w:p>
            <w:pPr>
              <w:spacing w:after="40"/>
            </w:pPr>
            <w:r>
              <w:rPr>
                <w:rFonts w:ascii="Courier New" w:cs="Courier New" w:eastAsia="Courier New" w:hAnsi="Courier New"/>
                <w:color w:val="7EC8E3"/>
                <w:sz w:val="18"/>
                <w:szCs w:val="18"/>
              </w:rPr>
              <w:t xml:space="preserve">Dueño: [Nombre del SRE responsable]</w:t>
            </w:r>
          </w:p>
          <w:p>
            <w:pPr>
              <w:spacing w:after="40"/>
            </w:pPr>
            <w:r>
              <w:rPr>
                <w:rFonts w:ascii="Courier New" w:cs="Courier New" w:eastAsia="Courier New" w:hAnsi="Courier New"/>
                <w:color w:val="7EC8E3"/>
                <w:sz w:val="18"/>
                <w:szCs w:val="18"/>
              </w:rPr>
              <w:t xml:space="preserve">Participantes: [Nombres de todos los involucrados]</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RESUMEN DEL IMPACTO:</w:t>
            </w:r>
          </w:p>
          <w:p>
            <w:pPr>
              <w:spacing w:after="40"/>
            </w:pPr>
            <w:r>
              <w:rPr>
                <w:rFonts w:ascii="Courier New" w:cs="Courier New" w:eastAsia="Courier New" w:hAnsi="Courier New"/>
                <w:color w:val="7EC8E3"/>
                <w:sz w:val="18"/>
                <w:szCs w:val="18"/>
              </w:rPr>
              <w:t xml:space="preserve">  • Duración: [Tiempo total del incidente]</w:t>
            </w:r>
          </w:p>
          <w:p>
            <w:pPr>
              <w:spacing w:after="40"/>
            </w:pPr>
            <w:r>
              <w:rPr>
                <w:rFonts w:ascii="Courier New" w:cs="Courier New" w:eastAsia="Courier New" w:hAnsi="Courier New"/>
                <w:color w:val="7EC8E3"/>
                <w:sz w:val="18"/>
                <w:szCs w:val="18"/>
              </w:rPr>
              <w:t xml:space="preserve">  • Usuarios afectados: [Porcentaje y tipo]</w:t>
            </w:r>
          </w:p>
          <w:p>
            <w:pPr>
              <w:spacing w:after="40"/>
            </w:pPr>
            <w:r>
              <w:rPr>
                <w:rFonts w:ascii="Courier New" w:cs="Courier New" w:eastAsia="Courier New" w:hAnsi="Courier New"/>
                <w:color w:val="7EC8E3"/>
                <w:sz w:val="18"/>
                <w:szCs w:val="18"/>
              </w:rPr>
              <w:t xml:space="preserve">  • Transacciones fallidas: [N° e impacto económico]</w:t>
            </w:r>
          </w:p>
          <w:p>
            <w:pPr>
              <w:spacing w:after="40"/>
            </w:pPr>
            <w:r>
              <w:rPr>
                <w:rFonts w:ascii="Courier New" w:cs="Courier New" w:eastAsia="Courier New" w:hAnsi="Courier New"/>
                <w:color w:val="7EC8E3"/>
                <w:sz w:val="18"/>
                <w:szCs w:val="18"/>
              </w:rPr>
              <w:t xml:space="preserve">  • SLA/SLO violado: [Sí/No — cuánto error budget consumido]</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LÍNEA DE TIEMPO (UTC):</w:t>
            </w:r>
          </w:p>
          <w:p>
            <w:pPr>
              <w:spacing w:after="40"/>
            </w:pPr>
            <w:r>
              <w:rPr>
                <w:rFonts w:ascii="Courier New" w:cs="Courier New" w:eastAsia="Courier New" w:hAnsi="Courier New"/>
                <w:color w:val="7EC8E3"/>
                <w:sz w:val="18"/>
                <w:szCs w:val="18"/>
              </w:rPr>
              <w:t xml:space="preserve">  [HH:MM] Alerta disparada / primeros síntomas detectados</w:t>
            </w:r>
          </w:p>
          <w:p>
            <w:pPr>
              <w:spacing w:after="40"/>
            </w:pPr>
            <w:r>
              <w:rPr>
                <w:rFonts w:ascii="Courier New" w:cs="Courier New" w:eastAsia="Courier New" w:hAnsi="Courier New"/>
                <w:color w:val="7EC8E3"/>
                <w:sz w:val="18"/>
                <w:szCs w:val="18"/>
              </w:rPr>
              <w:t xml:space="preserve">  [HH:MM] On-call ACK la alerta</w:t>
            </w:r>
          </w:p>
          <w:p>
            <w:pPr>
              <w:spacing w:after="40"/>
            </w:pPr>
            <w:r>
              <w:rPr>
                <w:rFonts w:ascii="Courier New" w:cs="Courier New" w:eastAsia="Courier New" w:hAnsi="Courier New"/>
                <w:color w:val="7EC8E3"/>
                <w:sz w:val="18"/>
                <w:szCs w:val="18"/>
              </w:rPr>
              <w:t xml:space="preserve">  [HH:MM] P0 declarado / IC nombrado</w:t>
            </w:r>
          </w:p>
          <w:p>
            <w:pPr>
              <w:spacing w:after="40"/>
            </w:pPr>
            <w:r>
              <w:rPr>
                <w:rFonts w:ascii="Courier New" w:cs="Courier New" w:eastAsia="Courier New" w:hAnsi="Courier New"/>
                <w:color w:val="7EC8E3"/>
                <w:sz w:val="18"/>
                <w:szCs w:val="18"/>
              </w:rPr>
              <w:t xml:space="preserve">  [HH:MM] Primera hipótesis de causa raíz</w:t>
            </w:r>
          </w:p>
          <w:p>
            <w:pPr>
              <w:spacing w:after="40"/>
            </w:pPr>
            <w:r>
              <w:rPr>
                <w:rFonts w:ascii="Courier New" w:cs="Courier New" w:eastAsia="Courier New" w:hAnsi="Courier New"/>
                <w:color w:val="7EC8E3"/>
                <w:sz w:val="18"/>
                <w:szCs w:val="18"/>
              </w:rPr>
              <w:t xml:space="preserve">  [HH:MM] Acción de mitigación aplicada</w:t>
            </w:r>
          </w:p>
          <w:p>
            <w:pPr>
              <w:spacing w:after="40"/>
            </w:pPr>
            <w:r>
              <w:rPr>
                <w:rFonts w:ascii="Courier New" w:cs="Courier New" w:eastAsia="Courier New" w:hAnsi="Courier New"/>
                <w:color w:val="7EC8E3"/>
                <w:sz w:val="18"/>
                <w:szCs w:val="18"/>
              </w:rPr>
              <w:t xml:space="preserve">  [HH:MM] Servicio restaurado al 100%</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CAUSA RAÍZ:</w:t>
            </w:r>
          </w:p>
          <w:p>
            <w:pPr>
              <w:spacing w:after="40"/>
            </w:pPr>
            <w:r>
              <w:rPr>
                <w:rFonts w:ascii="Courier New" w:cs="Courier New" w:eastAsia="Courier New" w:hAnsi="Courier New"/>
                <w:color w:val="7EC8E3"/>
                <w:sz w:val="18"/>
                <w:szCs w:val="18"/>
              </w:rPr>
              <w:t xml:space="preserve">  [Explicación técnica detallada — sin culpables, solo sistemas]</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5 WHYS:</w:t>
            </w:r>
          </w:p>
          <w:p>
            <w:pPr>
              <w:spacing w:after="40"/>
            </w:pPr>
            <w:r>
              <w:rPr>
                <w:rFonts w:ascii="Courier New" w:cs="Courier New" w:eastAsia="Courier New" w:hAnsi="Courier New"/>
                <w:color w:val="7EC8E3"/>
                <w:sz w:val="18"/>
                <w:szCs w:val="18"/>
              </w:rPr>
              <w:t xml:space="preserve">  1. ¿Por qué falló? → ...</w:t>
            </w:r>
          </w:p>
          <w:p>
            <w:pPr>
              <w:spacing w:after="40"/>
            </w:pPr>
            <w:r>
              <w:rPr>
                <w:rFonts w:ascii="Courier New" w:cs="Courier New" w:eastAsia="Courier New" w:hAnsi="Courier New"/>
                <w:color w:val="7EC8E3"/>
                <w:sz w:val="18"/>
                <w:szCs w:val="18"/>
              </w:rPr>
              <w:t xml:space="preserve">  2. ¿Por qué existía esa condición? → ...</w:t>
            </w:r>
          </w:p>
          <w:p>
            <w:pPr>
              <w:spacing w:after="40"/>
            </w:pPr>
            <w:r>
              <w:rPr>
                <w:rFonts w:ascii="Courier New" w:cs="Courier New" w:eastAsia="Courier New" w:hAnsi="Courier New"/>
                <w:color w:val="7EC8E3"/>
                <w:sz w:val="18"/>
                <w:szCs w:val="18"/>
              </w:rPr>
              <w:t xml:space="preserve">  3. ¿Por qué no lo detectamos antes? → ...</w:t>
            </w:r>
          </w:p>
          <w:p>
            <w:pPr>
              <w:spacing w:after="40"/>
            </w:pPr>
            <w:r>
              <w:rPr>
                <w:rFonts w:ascii="Courier New" w:cs="Courier New" w:eastAsia="Courier New" w:hAnsi="Courier New"/>
                <w:color w:val="7EC8E3"/>
                <w:sz w:val="18"/>
                <w:szCs w:val="18"/>
              </w:rPr>
              <w:t xml:space="preserve">  4. ¿Por qué no había alerta? → ...</w:t>
            </w:r>
          </w:p>
          <w:p>
            <w:pPr>
              <w:spacing w:after="40"/>
            </w:pPr>
            <w:r>
              <w:rPr>
                <w:rFonts w:ascii="Courier New" w:cs="Courier New" w:eastAsia="Courier New" w:hAnsi="Courier New"/>
                <w:color w:val="7EC8E3"/>
                <w:sz w:val="18"/>
                <w:szCs w:val="18"/>
              </w:rPr>
              <w:t xml:space="preserve">  5. ¿Por qué el proceso no lo previno? → ...</w:t>
            </w:r>
          </w:p>
          <w:p>
            <w:pPr>
              <w:spacing w:after="40"/>
            </w:pPr>
            <w:r>
              <w:rPr>
                <w:rFonts w:ascii="Courier New" w:cs="Courier New" w:eastAsia="Courier New" w:hAnsi="Courier New"/>
                <w:color w:val="7EC8E3"/>
                <w:sz w:val="18"/>
                <w:szCs w:val="18"/>
              </w:rPr>
              <w:t xml:space="preserve"/>
            </w:r>
          </w:p>
          <w:p>
            <w:pPr>
              <w:spacing w:after="40"/>
            </w:pPr>
            <w:r>
              <w:rPr>
                <w:rFonts w:ascii="Courier New" w:cs="Courier New" w:eastAsia="Courier New" w:hAnsi="Courier New"/>
                <w:color w:val="7EC8E3"/>
                <w:sz w:val="18"/>
                <w:szCs w:val="18"/>
              </w:rPr>
              <w:t xml:space="preserve">ACCIONES (con dueño y fecha OBLIGATORIOS):</w:t>
            </w:r>
          </w:p>
          <w:p>
            <w:pPr>
              <w:spacing w:after="40"/>
            </w:pPr>
            <w:r>
              <w:rPr>
                <w:rFonts w:ascii="Courier New" w:cs="Courier New" w:eastAsia="Courier New" w:hAnsi="Courier New"/>
                <w:color w:val="7EC8E3"/>
                <w:sz w:val="18"/>
                <w:szCs w:val="18"/>
              </w:rPr>
              <w:t xml:space="preserve">  [CORTO PLAZO]   Arreglar el bug.                [Dueño: A] [Fecha: DD/MM]</w:t>
            </w:r>
          </w:p>
          <w:p>
            <w:pPr>
              <w:spacing w:after="40"/>
            </w:pPr>
            <w:r>
              <w:rPr>
                <w:rFonts w:ascii="Courier New" w:cs="Courier New" w:eastAsia="Courier New" w:hAnsi="Courier New"/>
                <w:color w:val="7EC8E3"/>
                <w:sz w:val="18"/>
                <w:szCs w:val="18"/>
              </w:rPr>
              <w:t xml:space="preserve">  [MEDIANO PLAZO] Mejorar alerta de detección.    [Dueño: B] [Fecha: DD/MM]</w:t>
            </w:r>
          </w:p>
          <w:p>
            <w:pPr>
              <w:spacing w:after="40"/>
            </w:pPr>
            <w:r>
              <w:rPr>
                <w:rFonts w:ascii="Courier New" w:cs="Courier New" w:eastAsia="Courier New" w:hAnsi="Courier New"/>
                <w:color w:val="7EC8E3"/>
                <w:sz w:val="18"/>
                <w:szCs w:val="18"/>
              </w:rPr>
              <w:t xml:space="preserve">  [LARGO PLAZO]   Rediseñar componente afectado.  [Dueño: C] [Fecha: DD/MM]</w:t>
            </w:r>
          </w:p>
        </w:tc>
      </w:tr>
    </w:tbl>
    <w:p>
      <w:pPr>
        <w:spacing w:after="30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480"/>
              <w:left w:type="dxa" w:w="480"/>
              <w:bottom w:type="dxa" w:w="480"/>
              <w:right w:type="dxa" w:w="480"/>
            </w:tcMar>
          </w:tcPr>
          <w:p>
            <w:pPr>
              <w:spacing w:after="80"/>
              <w:jc w:val="center"/>
            </w:pPr>
            <w:r>
              <w:rPr>
                <w:rFonts w:ascii="Arial" w:cs="Arial" w:eastAsia="Arial" w:hAnsi="Arial"/>
                <w:i/>
                <w:iCs/>
                <w:color w:val="4A9EE0"/>
                <w:sz w:val="28"/>
                <w:szCs w:val="28"/>
              </w:rPr>
              <w:t xml:space="preserve">"Cuando el teléfono suene a las 3 a.m. y veas un error DE39: 91,</w:t>
            </w:r>
          </w:p>
          <w:p>
            <w:pPr>
              <w:spacing w:after="160"/>
              <w:jc w:val="center"/>
            </w:pPr>
            <w:r>
              <w:rPr>
                <w:rFonts w:ascii="Arial" w:cs="Arial" w:eastAsia="Arial" w:hAnsi="Arial"/>
                <w:i/>
                <w:iCs/>
                <w:color w:val="4A9EE0"/>
                <w:sz w:val="28"/>
                <w:szCs w:val="28"/>
              </w:rPr>
              <w:t xml:space="preserve">no entres en pánico. Respira. Sigue el proceso.</w:t>
            </w:r>
          </w:p>
          <w:p>
            <w:pPr>
              <w:spacing w:after="80"/>
              <w:jc w:val="center"/>
            </w:pPr>
            <w:r>
              <w:rPr>
                <w:rFonts w:ascii="Arial" w:cs="Arial" w:eastAsia="Arial" w:hAnsi="Arial"/>
                <w:color w:val="FFFFFF"/>
                <w:sz w:val="24"/>
                <w:szCs w:val="24"/>
              </w:rPr>
              <w:t xml:space="preserve">Detrás de cada mensaje hay una persona tratando de comprar un café,</w:t>
            </w:r>
          </w:p>
          <w:p>
            <w:pPr>
              <w:spacing w:after="200"/>
              <w:jc w:val="center"/>
            </w:pPr>
            <w:r>
              <w:rPr>
                <w:rFonts w:ascii="Arial" w:cs="Arial" w:eastAsia="Arial" w:hAnsi="Arial"/>
                <w:color w:val="FFFFFF"/>
                <w:sz w:val="24"/>
                <w:szCs w:val="24"/>
              </w:rPr>
              <w:t xml:space="preserve">pagar una cena o hacer una transferencia para llegar a fin de mes.</w:t>
            </w:r>
          </w:p>
          <w:p>
            <w:pPr>
              <w:spacing w:after="0"/>
              <w:jc w:val="center"/>
            </w:pPr>
            <w:r>
              <w:rPr>
                <w:rFonts w:ascii="Arial" w:cs="Arial" w:eastAsia="Arial" w:hAnsi="Arial"/>
                <w:b/>
                <w:bCs/>
                <w:color w:val="4A9EE0"/>
                <w:sz w:val="24"/>
                <w:szCs w:val="24"/>
              </w:rPr>
              <w:t xml:space="preserve">Nuestro trabajo es asegurar que esa experiencia sea invisible y confiable."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spacing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pPr>
            <w:spacing w:after="0"/>
          </w:pPr>
          <w:r>
            <w:rPr>
              <w:rFonts w:ascii="Arial" w:cs="Arial" w:eastAsia="Arial" w:hAnsi="Arial"/>
              <w:i/>
              <w:iCs/>
              <w:color w:val="7F8C8D"/>
              <w:sz w:val="16"/>
              <w:szCs w:val="16"/>
            </w:rPr>
            <w:t xml:space="preserve">Confidencial — Solo uso interno</w:t>
          </w:r>
        </w:p>
      </w:tc>
      <w:tc>
        <w:tcPr>
          <w:tcW w:type="dxa" w:w="4080"/>
          <w:tcBorders>
            <w:top w:val="none" w:color="FFFFFF" w:sz="0"/>
            <w:left w:val="none" w:color="FFFFFF" w:sz="0"/>
            <w:bottom w:val="none" w:color="FFFFFF" w:sz="0"/>
            <w:right w:val="none" w:color="FFFFFF" w:sz="0"/>
          </w:tcBorders>
        </w:tcPr>
        <w:p>
          <w:pPr>
            <w:spacing w:after="0"/>
            <w:jc w:val="right"/>
          </w:pPr>
          <w:r>
            <w:rPr>
              <w:rFonts w:ascii="Arial" w:cs="Arial" w:eastAsia="Arial" w:hAnsi="Arial"/>
              <w:color w:val="7F8C8D"/>
              <w:sz w:val="16"/>
              <w:szCs w:val="16"/>
            </w:rPr>
            <w:t xml:space="preserve">Pág. </w:t>
          </w:r>
          <w:r>
            <w:rPr>
              <w:rFonts w:ascii="Arial" w:cs="Arial" w:eastAsia="Arial" w:hAnsi="Arial"/>
              <w:b/>
              <w:bCs/>
              <w:color w:val="2D7DD2"/>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pPr>
            <w:spacing w:after="0"/>
          </w:pPr>
          <w:r>
            <w:rPr>
              <w:rFonts w:ascii="Arial" w:cs="Arial" w:eastAsia="Arial" w:hAnsi="Arial"/>
              <w:b/>
              <w:bCs/>
              <w:color w:val="1A3A5C"/>
              <w:sz w:val="16"/>
              <w:szCs w:val="16"/>
            </w:rPr>
            <w:t xml:space="preserve">LA GUÍA DEFINITIVA DEL NOC | Sistemas de Pagos Globales</w:t>
          </w:r>
        </w:p>
      </w:tc>
      <w:tc>
        <w:tcPr>
          <w:tcW w:type="dxa" w:w="4080"/>
          <w:tcBorders>
            <w:top w:val="none" w:color="FFFFFF" w:sz="0"/>
            <w:left w:val="none" w:color="FFFFFF" w:sz="0"/>
            <w:bottom w:val="none" w:color="FFFFFF" w:sz="0"/>
            <w:right w:val="none" w:color="FFFFFF" w:sz="0"/>
          </w:tcBorders>
        </w:tcPr>
        <w:p>
          <w:pPr>
            <w:spacing w:after="0"/>
            <w:jc w:val="right"/>
          </w:pPr>
          <w:r>
            <w:rPr>
              <w:rFonts w:ascii="Arial" w:cs="Arial" w:eastAsia="Arial" w:hAnsi="Arial"/>
              <w:i/>
              <w:iCs/>
              <w:color w:val="7F8C8D"/>
              <w:sz w:val="16"/>
              <w:szCs w:val="16"/>
            </w:rPr>
            <w:t xml:space="preserve">NOC → SRE → Staff Engineer</w:t>
          </w:r>
        </w:p>
      </w:tc>
    </w:tr>
  </w:tbl>
  <w:p>
    <w:pPr>
      <w:pBdr>
        <w:bottom w:val="single" w:color="2D7DD2" w:sz="6"/>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60" w:after="160"/>
      <w:outlineLvl w:val="1"/>
    </w:pPr>
    <w:rPr>
      <w:rFonts w:ascii="Arial" w:cs="Arial" w:eastAsia="Arial" w:hAnsi="Arial"/>
      <w:b/>
      <w:bCs/>
      <w:color w:val="0D2137"/>
      <w:sz w:val="36"/>
      <w:szCs w:val="36"/>
    </w:rPr>
  </w:style>
  <w:style w:type="paragraph" w:styleId="Heading3">
    <w:name w:val="Heading 3"/>
    <w:basedOn w:val="Normal"/>
    <w:next w:val="Normal"/>
    <w:qFormat/>
    <w:pPr>
      <w:spacing w:before="240" w:after="100"/>
      <w:outlineLvl w:val="2"/>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2026-02-28T21:24:28.283Z</dcterms:created>
  <dcterms:modified xsi:type="dcterms:W3CDTF">2026-02-28T21:24:28.284Z</dcterms:modified>
</cp:coreProperties>
</file>

<file path=docProps/custom.xml><?xml version="1.0" encoding="utf-8"?>
<Properties xmlns="http://schemas.openxmlformats.org/officeDocument/2006/custom-properties" xmlns:vt="http://schemas.openxmlformats.org/officeDocument/2006/docPropsVTypes"/>
</file>