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23963" cy="5279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52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KneoSense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1 - Reto planteado por ClarkeModet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Pregunta de ellos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RETO:Producto innovador del tipo "Medical Device" con cumplimiento regulatorio en el ámbito BIO como nueva línea de negocio de ClarkeModet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2 - Planteamiento y enfoque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Pregunta de nosotros, y como los enfocamos a post-operatorio de 10 días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¿Cómo podríamos desarrollar un dispositivo portátil para registrar de forma remota y objetiva, la evolución de la inflamación durante la recuperación y rehabilitación después de una operación de rodilla, alertando tempranamente sobre cambios que requieran revisión clínica?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3 - Requerimientos de usuario</w:t>
      </w: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6540"/>
        <w:gridCol w:w="1335"/>
        <w:tblGridChange w:id="0">
          <w:tblGrid>
            <w:gridCol w:w="1260"/>
            <w:gridCol w:w="6540"/>
            <w:gridCol w:w="133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145c7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145c7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Necesidad expresada por el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145c7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Conocer cómo evoluciona la hinchazón de mi rodilla después de la operación.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Reconocer cambios importantes que debería comunicar a mi equipo médico.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seguimiento desde casa sin desplazarme al hospital para cada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Comprender la información sin conocimientos médicos especializados.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Comparar el estado de mi rodilla entre distintos días o semanas.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mediciones sencillas, rápidas y sin provocar dolor.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Contar con instrucciones claras para utilizar el dispositivo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Saber cuánto tiempo utilizarlo, cuándo retirarlo y cuándo reemplazar componentes.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Usarlo cómodamente sin interferir con la movilidad ni con la cicatrización.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dolor, rigidez y percepción de hinchazón diariamente.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Compartir el historial de recuperación con mi médico o fisioterapeuta.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Proteger la privacidad de mis datos sanitarios y fotografías.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Saber qué hacer ante una falla del dispositivo o un dato incorrecto.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Utilizar la solución aunque tenga movilidad reducida o dificultades para agacharme.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Sentirme informado y acompañado sin alertas innecesariamente alarmantes.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rHeight w:val="300.68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Permitir que mi familiar o cuidador me ayude cuando sea necesario.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7e4e8" w:space="0" w:sz="6" w:val="single"/>
              <w:right w:color="000000" w:space="0" w:sz="0" w:val="nil"/>
            </w:tcBorders>
            <w:shd w:fill="ef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4 - Prototipo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Prototipo / Materiales / 4.0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247650</wp:posOffset>
            </wp:positionV>
            <wp:extent cx="3548063" cy="269368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4052" l="15781" r="16611" t="4595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693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247650</wp:posOffset>
            </wp:positionV>
            <wp:extent cx="3646845" cy="2574968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845" cy="2574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1428750</wp:posOffset>
            </wp:positionH>
            <wp:positionV relativeFrom="paragraph">
              <wp:posOffset>268700</wp:posOffset>
            </wp:positionV>
            <wp:extent cx="2014538" cy="1942072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1942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228600</wp:posOffset>
            </wp:positionV>
            <wp:extent cx="3157538" cy="3317881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3317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228600</wp:posOffset>
            </wp:positionV>
            <wp:extent cx="3809753" cy="33147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753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5 - Instrucciones de uso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6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8344b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344b"/>
                <w:highlight w:val="yellow"/>
                <w:rtl w:val="0"/>
              </w:rPr>
              <w:t xml:space="preserve">ESTADO DE LAS INSTRUCCIONES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Procedimiento conceptual para diseñar la interfaz y las pruebas de usabilidad. No debe entregarse como instrucción de utilización clínica de un producto no validado.</w:t>
            </w:r>
          </w:p>
        </w:tc>
      </w:tr>
    </w:tbl>
    <w:p w:rsidR="00000000" w:rsidDel="00000000" w:rsidP="00000000" w:rsidRDefault="00000000" w:rsidRPr="00000000" w14:paraId="0000007A">
      <w:pPr>
        <w:spacing w:after="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01  Preparación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Abrir la aplicación, confirmar la identidad y comprobar si existe una sesión programada. Revisar el estado de la piel y del consumible.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02  Colocación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app presenta una guía visual para posicionar los electrodos sobre piel íntegra en ubicaciones previamente validadas. No aplicarlos sobre la incisión o piel dañada.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03  Comprobación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verifica el contacto de los electrodos y comunica claramente si la señal no es válida. No interpretar ni almacenar como clínica una medición fallida.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04  Medición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Iniciar la sesión; mostrar estado, tiempo y posibilidad de detener. En el MVP, los valores de bioimpedancia estarán etiquetados como simulados.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05  Retirada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Finalizar la adquisición, retirar el adhesivo suavemente siguiendo las instrucciones del material y observar si existen molestias cutáneas.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06  Fotografía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Tomar una imagen estandarizada con encuadre e iluminación guiados. El análisis de IA es experimental y no confirma una evolución normal.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8183"/>
          <w:rtl w:val="0"/>
        </w:rPr>
        <w:t xml:space="preserve">07  Registro e historial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Añadir dolor, rigidez o preocupación; comparar tendencias e informar al profesional cuando corresponda, siguiendo el plan postoperatorio.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6 - Riesgos y mitigación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Riesgos</w:t>
      </w: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4140"/>
        <w:gridCol w:w="1530"/>
        <w:gridCol w:w="1320"/>
        <w:gridCol w:w="1080"/>
        <w:tblGridChange w:id="0">
          <w:tblGrid>
            <w:gridCol w:w="705"/>
            <w:gridCol w:w="4140"/>
            <w:gridCol w:w="1530"/>
            <w:gridCol w:w="1320"/>
            <w:gridCol w:w="10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be4eb" w:space="0" w:sz="6" w:val="single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Borders>
              <w:top w:color="dbe4eb" w:space="0" w:sz="6" w:val="single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Riesgo y consecuencia potencial</w:t>
            </w:r>
          </w:p>
        </w:tc>
        <w:tc>
          <w:tcPr>
            <w:tcBorders>
              <w:top w:color="dbe4eb" w:space="0" w:sz="6" w:val="single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Probabilidad</w:t>
            </w:r>
          </w:p>
        </w:tc>
        <w:tc>
          <w:tcPr>
            <w:tcBorders>
              <w:top w:color="dbe4eb" w:space="0" w:sz="6" w:val="single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Severidad</w:t>
            </w:r>
          </w:p>
        </w:tc>
        <w:tc>
          <w:tcPr>
            <w:tcBorders>
              <w:top w:color="dbe4eb" w:space="0" w:sz="6" w:val="single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Nivel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 IA no identifica cambios preocupantes y genera falsa tranquilidad, retrasando una consulta médica.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Probable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ef0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Medición de bioimpedancia incorrecta por colocación de electrodos; interpretación equivocada del edema.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Probable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ff0e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Fotografías con iluminación o ángulo inadecuados; interpretación visual errónea.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Frecuente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ef0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Fallo de la app o notificaciones; comunicación tardía de un cambio importante.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Ocasional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ff0e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Datos simulados interpretados como mediciones clínicas reales.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Probable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ef0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Acceso no autorizado a fotografías, historial y datos sanitarios.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Ocasional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ff0e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Falsas alarmas que provocan ansiedad y preocupación innecesaria.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Probable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ff0e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Asociación de fotografías o mediciones al paciente incorrecto.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Ocasional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ff0e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Fallo eléctrico del equipo de bioimpedancia que ocasiona una lesión grave.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Remota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ef0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Irritación, lesión cutánea o infección por el contacto con la piel y la herida, de el parche y sus componentes.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Ocasional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ff0e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lgftm2ie3oo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Mitigaación</w:t>
      </w: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6615"/>
        <w:gridCol w:w="1410"/>
        <w:tblGridChange w:id="0">
          <w:tblGrid>
            <w:gridCol w:w="765"/>
            <w:gridCol w:w="6615"/>
            <w:gridCol w:w="14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be4eb" w:space="0" w:sz="6" w:val="single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Borders>
              <w:top w:color="dbe4eb" w:space="0" w:sz="6" w:val="single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 de riesgo propuesto</w:t>
            </w:r>
          </w:p>
        </w:tc>
        <w:tc>
          <w:tcPr>
            <w:tcBorders>
              <w:top w:color="dbe4eb" w:space="0" w:sz="6" w:val="single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172c4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Objetivo residual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Prohibir mensajes de “ausencia de infección”; validar clínicamente la IA y mantener instrucciones de consulta independientes del algoritmo.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Control de colocación y contacto de electrodos; calidad de señal, calibración, repetibilidad y comparación con medidas de referencia.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Captura fotográfica guiada; controles de posición e iluminación; rechazo de fotos de baja calidad.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Confirmación de recepción de datos; avisos de fallos y canales alternativos para contactar al equipo asistencial.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Separación de entornos simulados y clínicos; marca visible “DATOS SIMULADOS”; bloquear decisiones clínicas en el MVP.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Cifrado, autenticación y autorización, minimización de datos, control de acceso y políticas de conservación.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Mensajes claros y no alarmistas, revisión de umbrales, evaluación de usabilidad y acompañamiento informativo.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Identificación de paciente y episodio; controles de integridad y confirmación de asociación de imágenes y registros.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Diseño eléctrico seguro, límites de corriente, aislamiento cuando corresponda y pruebas conforme a normas aplicables.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be4eb" w:space="0" w:sz="6" w:val="single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Materiales biocompatibles, uso sobre piel íntegra, instrucciones de colocación y evaluación de los contactos cutáneos, instrucciones de cuidado y limpieza de la zona donde se va a colocar.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be4eb" w:space="0" w:sz="6" w:val="single"/>
              <w:right w:color="dbe4eb" w:space="0" w:sz="6" w:val="single"/>
            </w:tcBorders>
            <w:shd w:fill="f3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6.8" w:lineRule="auto"/>
              <w:jc w:val="both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7 - Regulaciones FDA / CE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20"/>
        <w:gridCol w:w="1755"/>
        <w:gridCol w:w="5160"/>
        <w:tblGridChange w:id="0">
          <w:tblGrid>
            <w:gridCol w:w="1230"/>
            <w:gridCol w:w="1620"/>
            <w:gridCol w:w="1755"/>
            <w:gridCol w:w="5160"/>
          </w:tblGrid>
        </w:tblGridChange>
      </w:tblGrid>
      <w:tr>
        <w:trPr>
          <w:cantSplit w:val="0"/>
          <w:trHeight w:val="1023.95507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Mecanismo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6.6943359374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FDA (EE.UU.)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De Novo</w:t>
            </w:r>
          </w:p>
          <w:p w:rsidR="00000000" w:rsidDel="00000000" w:rsidP="00000000" w:rsidRDefault="00000000" w:rsidRPr="00000000" w14:paraId="0000010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 Novo Classification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Pre-Submition: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para confirmar que no hay predicado, validar el uso previsto, el plan de evidencia y los controles especiales 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Small Business Determination: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 Novo - $47,755 / Registro anual - $13785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Formato eSTAR de De Novo:</w:t>
              <w:br w:type="textWrapping"/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https://shorturl.at/TNQ1O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Enviar por el portal de CDRH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Revisión de aceptación 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Revisión de fondo: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FDA puede pedir información adicional, hay un plazo de 180 días para responder. 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3"/>
              </w:numPr>
              <w:spacing w:after="48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Decisión: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Si se concede, se crea la nueva clasificación y pueden comercializar. Si se rechaza, el dispositivo queda en Clase III. </w:t>
            </w:r>
          </w:p>
        </w:tc>
      </w:tr>
      <w:tr>
        <w:trPr>
          <w:cantSplit w:val="0"/>
          <w:trHeight w:val="3954.272460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CE / MDR (UE)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Clase IIa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Evaluación de Conformidad por Organismo Notificado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Licencias y registros: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Obtener las licencias, comunicaciones de distribución y comercialización y el registro con AEMPS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Evaluación clínica: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Validar los requisitos de seguridad.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Ensayos de laboratorio: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Gestionar test con laboratorios.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Technical File: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Elaborar la documentación técnica, diseño, requisitos y gestión de riesgos.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 de calidad: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Sistema de gestión de la calidad Sanitaria bajo la norma ISO 13485:2016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spacing w:after="480" w:lineRule="auto"/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Marcado CE: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Asesoramiento para cumplir los requisitos regulatorios y obtener el marcado CE.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Diapositiva 8 - Evaluación con médico 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Validación médica del prototipo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Conclusión: orientar el parche al seguimiento de la inflamación durante la rehabilitación de rodilla, complementando la evaluación clínica y ayudando a identificar posibles señales de alerta.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hyperlink" Target="https://shorturl.at/TNQ1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