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Posibles preguntas que se podrían responder según el data set: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EN ROJO</w:t>
      </w:r>
      <w:r w:rsidDel="00000000" w:rsidR="00000000" w:rsidRPr="00000000">
        <w:rPr>
          <w:rtl w:val="0"/>
        </w:rPr>
        <w:t xml:space="preserve">: No se pudo contestar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hd w:fill="ff9900" w:val="clear"/>
          <w:rtl w:val="0"/>
        </w:rPr>
        <w:t xml:space="preserve">EN NARANJA</w:t>
      </w:r>
      <w:r w:rsidDel="00000000" w:rsidR="00000000" w:rsidRPr="00000000">
        <w:rPr>
          <w:rtl w:val="0"/>
        </w:rPr>
        <w:t xml:space="preserve">: No se contestó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EN AMARILLO:</w:t>
      </w:r>
      <w:r w:rsidDel="00000000" w:rsidR="00000000" w:rsidRPr="00000000">
        <w:rPr>
          <w:rtl w:val="0"/>
        </w:rPr>
        <w:t xml:space="preserve"> Pregunta contestada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Incremento de la Resistencia</w:t>
        <w:br w:type="textWrapping"/>
        <w:br w:type="textWrapping"/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Impacto de la Temperatura en la Resistencia del Hormigón: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435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¿Cómo afecta la temperatura del hormigón en estado fresco a la resistencia final medida a los 28 días?</w:t>
      </w:r>
    </w:p>
    <w:p w:rsidR="00000000" w:rsidDel="00000000" w:rsidP="00000000" w:rsidRDefault="00000000" w:rsidRPr="00000000" w14:paraId="00000007">
      <w:pPr>
        <w:ind w:left="-283.46456692913375" w:right="-891.2598425196836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435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¿De qué manera Impacta el clima en el producto final?</w:t>
      </w:r>
    </w:p>
    <w:p w:rsidR="00000000" w:rsidDel="00000000" w:rsidP="00000000" w:rsidRDefault="00000000" w:rsidRPr="00000000" w14:paraId="0000000A">
      <w:pPr>
        <w:ind w:left="28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Relación entre la Clase Resistente y la Resistencia Medida: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43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¿Existe una correlación directa entre la clase resistente (H15, H20, etc.) y los resultados de resistencia a la compresión a 7 y 28 días?</w:t>
      </w:r>
    </w:p>
    <w:p w:rsidR="00000000" w:rsidDel="00000000" w:rsidP="00000000" w:rsidRDefault="00000000" w:rsidRPr="00000000" w14:paraId="0000000D">
      <w:pPr>
        <w:ind w:left="285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435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¿Cuál es la relación entre la densidad aparente del hormigón y su resistencia?</w:t>
      </w:r>
    </w:p>
    <w:p w:rsidR="00000000" w:rsidDel="00000000" w:rsidP="00000000" w:rsidRDefault="00000000" w:rsidRPr="00000000" w14:paraId="0000000F">
      <w:pPr>
        <w:ind w:left="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Tiene que ver más con el tamaño del agregado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Efecto del Tamaño del Agregado: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435"/>
        <w:rPr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¿Cómo influye el tamaño máximo del agregado en la resistencia del hormigón?</w:t>
      </w:r>
    </w:p>
    <w:p w:rsidR="00000000" w:rsidDel="00000000" w:rsidP="00000000" w:rsidRDefault="00000000" w:rsidRPr="00000000" w14:paraId="00000013">
      <w:pPr>
        <w:spacing w:after="240" w:before="240" w:lineRule="auto"/>
        <w:ind w:left="285" w:firstLine="0"/>
        <w:rPr/>
      </w:pPr>
      <w:r w:rsidDel="00000000" w:rsidR="00000000" w:rsidRPr="00000000">
        <w:rPr>
          <w:rtl w:val="0"/>
        </w:rPr>
        <w:tab/>
        <w:t xml:space="preserve">No se puede colocar un tamaño de agregado con más de ⅓ de la dimensión mínima a rellenar. El agregado es solo por relleno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Impacto del Tiempo de Transporte: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40" w:lineRule="auto"/>
        <w:ind w:left="720" w:hanging="435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¿Qué efecto tiene el tiempo transcurrido desde la carga en el camión hasta la toma de la muestra en la resistencia del hormigón?</w:t>
      </w:r>
    </w:p>
    <w:p w:rsidR="00000000" w:rsidDel="00000000" w:rsidP="00000000" w:rsidRDefault="00000000" w:rsidRPr="00000000" w14:paraId="00000016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435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¿Cómo varía la resistencia del hormigón en función del tiempo de manejo del mismo? </w:t>
      </w:r>
    </w:p>
    <w:p w:rsidR="00000000" w:rsidDel="00000000" w:rsidP="00000000" w:rsidRDefault="00000000" w:rsidRPr="00000000" w14:paraId="00000018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Respondido en el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Influencia de la Consistencia (Asentamiento):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435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¿Cómo afecta el resultado del ensayo de consistencia (asentamiento) a la resistencia final del hormigón?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Factores: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435"/>
        <w:rPr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¿Qué factores contribuyen al incremento de la resistencia del hormigón?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 se puede contestar solo con el set de datos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Impacto de colocación en la resistencia: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435"/>
        <w:rPr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¿Qué impacto tiene el método de colocación (canaleta o bomba) en la resistencia del hormigón?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La resistencia es menor por la consistencia más que por el método de colocación, dado que para emplear un método de bombeo se necesita un concreto con menor consistencia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Reducción del Desvío Estándar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Variabilidad entre Probetas: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435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¿Qué factores contribuyen a la diferencia entre el resultado más grande y el más pequeño en los ensayos de compresión?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Calidad de las Muestras: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43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¿Existe alguna relación entre la cantidad de probetas ensayadas y la consistencia de los resultados?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Variabilidad por Cliente u Obra: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435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¿Se observa una variabilidad significativa en los resultados de resistencia entre diferentes clientes u obras?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Efecto del Volumen Cargado: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435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¿Cómo influye el volumen de hormigón cargado en el camión en la consistencia de los resultados?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Método de Colocación: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435"/>
        <w:rPr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¿Hay diferencias significativas en la resistencia y variabilidad del hormigón dependiendo del medio de colocación (canaleta o bomba)?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Aspectos Relevantes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i w:val="1"/>
          <w:u w:val="single"/>
          <w:rtl w:val="0"/>
        </w:rPr>
        <w:t xml:space="preserve">Trazabilidad y Identificación: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435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¿Se pueden identificar patrones específicos en los resultados de resistencia mediante el análisis del número de remito y la identificación del cliente y obra?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Impacto del Ensayo de Aire: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435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¿Cómo afecta la cantidad de aire medido en el hormigón a la resistencia y a la variabilidad de los resultados?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aire es utilizado para aumentar la durabilidad por la permisibilidad de la expansión del cemento, y no tiene directamente que ver con la resistencia en sí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Cambios en las Receta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435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¿Existen diferencias en la resistencia y variabilidad de los hormigones elaborados con diferentes recetas para la misma clase resistente?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Efectos sobre resultado y error intraensayo: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435"/>
        <w:rPr/>
      </w:pPr>
      <w:r w:rsidDel="00000000" w:rsidR="00000000" w:rsidRPr="00000000">
        <w:rPr>
          <w:highlight w:val="red"/>
          <w:rtl w:val="0"/>
        </w:rPr>
        <w:t xml:space="preserve">¿Qué efectos tiene el asentamiento sobre el resultado y el error intraensayo?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Temporal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Evolución de la Resistencia: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435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¿Cómo ha evolucionado la resistencia del hormigón a lo largo del tiempo, considerando los cambios en las clases resistentes y recetas?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Estacionalidad: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435"/>
        <w:rPr/>
      </w:pPr>
      <w:r w:rsidDel="00000000" w:rsidR="00000000" w:rsidRPr="00000000">
        <w:rPr>
          <w:shd w:fill="ff9900" w:val="clear"/>
          <w:rtl w:val="0"/>
        </w:rPr>
        <w:t xml:space="preserve">¿Existen patrones estacionales (variación por meses o estaciones del año) en los resultados de resistencia del hormigón?</w:t>
      </w:r>
      <w:r w:rsidDel="00000000" w:rsidR="00000000" w:rsidRPr="00000000">
        <w:rPr>
          <w:rtl w:val="0"/>
        </w:rPr>
        <w:br w:type="textWrapping"/>
        <w:t xml:space="preserve">Contestado en el punto 2</w:t>
      </w:r>
    </w:p>
    <w:p w:rsidR="00000000" w:rsidDel="00000000" w:rsidP="00000000" w:rsidRDefault="00000000" w:rsidRPr="00000000" w14:paraId="0000003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Oferta y demanda según época</w:t>
      </w:r>
    </w:p>
    <w:p w:rsidR="00000000" w:rsidDel="00000000" w:rsidP="00000000" w:rsidRDefault="00000000" w:rsidRPr="00000000" w14:paraId="0000003F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5" w:hanging="420"/>
        <w:rPr>
          <w:highlight w:val="yellow"/>
        </w:rPr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¿Qué productos de hormigón tienen mayor demanda en diferentes épocas del año?</w:t>
      </w:r>
    </w:p>
    <w:p w:rsidR="00000000" w:rsidDel="00000000" w:rsidP="00000000" w:rsidRDefault="00000000" w:rsidRPr="00000000" w14:paraId="00000041">
      <w:pPr>
        <w:ind w:left="708" w:hanging="4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5" w:hanging="420"/>
        <w:rPr>
          <w:shd w:fill="ff9900" w:val="clear"/>
        </w:rPr>
      </w:pPr>
      <w:r w:rsidDel="00000000" w:rsidR="00000000" w:rsidRPr="00000000">
        <w:rPr>
          <w:rtl w:val="0"/>
        </w:rPr>
        <w:t xml:space="preserve">24.  </w:t>
      </w:r>
      <w:r w:rsidDel="00000000" w:rsidR="00000000" w:rsidRPr="00000000">
        <w:rPr>
          <w:shd w:fill="ff9900" w:val="clear"/>
          <w:rtl w:val="0"/>
        </w:rPr>
        <w:t xml:space="preserve">¿Qué segmentos de clientes compran más frecuentemente y qué productos prefieren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No contesté porque en la base de datos no hice énfasis en los clientes, sinó en   las propiedades del concreto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  <w:t xml:space="preserve">EL DORADO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4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2805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iqHdjujYDWW7LvVVxHXBxfGsjA==">CgMxLjA4AHIhMVByNjJOZjVIUk9YenNVY2l4aFJvTDYtbXY3SExVc0FT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2024-06-10T18:21:00Z</dcterms:created>
</cp:coreProperties>
</file>