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Documentación del Proyecto - Aplicación Nutricional</w:t>
      </w:r>
    </w:p>
    <w:p>
      <w:pPr>
        <w:pStyle w:val="Heading2"/>
      </w:pPr>
      <w:r>
        <w:t>1. Diagrama de Arquitectura</w:t>
      </w:r>
    </w:p>
    <w:p>
      <w:r>
        <w:rPr>
          <w:rFonts w:ascii="Courier New" w:hAnsi="Courier New"/>
          <w:sz w:val="20"/>
        </w:rPr>
        <w:br/>
        <w:t>[ Cliente / Frontend ]</w:t>
        <w:br/>
        <w:t xml:space="preserve">            |</w:t>
        <w:br/>
        <w:t xml:space="preserve">            v</w:t>
        <w:br/>
        <w:t xml:space="preserve">      [ API Flask ]</w:t>
        <w:br/>
        <w:t xml:space="preserve">            |</w:t>
        <w:br/>
        <w:t xml:space="preserve">    -----------------</w:t>
        <w:br/>
        <w:t xml:space="preserve">    |               |</w:t>
        <w:br/>
        <w:t xml:space="preserve">    v               v</w:t>
        <w:br/>
        <w:t>[ Servicios ]   [ Base de Datos ]</w:t>
        <w:br/>
        <w:t xml:space="preserve">    |               |</w:t>
        <w:br/>
        <w:t xml:space="preserve">    v               |</w:t>
        <w:br/>
        <w:t>[ Open Food Facts API ]</w:t>
        <w:br/>
      </w:r>
    </w:p>
    <w:p>
      <w:r>
        <w:t>La arquitectura sigue un modelo cliente-servidor. El frontend o cliente realiza solicitudes HTTP a la API desarrollada con Flask. La API delega la lógica a los servicios internos, que interactúan con la base de datos SQLAlchemy o con la API externa de Open Food Facts cuando es necesario.</w:t>
      </w:r>
    </w:p>
    <w:p>
      <w:pPr>
        <w:pStyle w:val="Heading2"/>
      </w:pPr>
      <w:r>
        <w:t>2. Diagrama de Base de Datos (DER)</w:t>
      </w:r>
    </w:p>
    <w:p>
      <w:r>
        <w:rPr>
          <w:rFonts w:ascii="Courier New" w:hAnsi="Courier New"/>
          <w:sz w:val="20"/>
        </w:rPr>
        <w:br/>
        <w:t>PRODUCTOS</w:t>
        <w:br/>
        <w:t>- id (PK)</w:t>
        <w:br/>
        <w:t>- codigo_barras</w:t>
        <w:br/>
        <w:t>- nombre</w:t>
        <w:br/>
        <w:t>- marca</w:t>
        <w:br/>
        <w:t>- fuente</w:t>
        <w:br/>
        <w:t xml:space="preserve">        |</w:t>
        <w:br/>
        <w:t xml:space="preserve">        | 1</w:t>
        <w:br/>
        <w:t xml:space="preserve">        |</w:t>
        <w:br/>
        <w:t xml:space="preserve">        | *</w:t>
        <w:br/>
        <w:t>PRODUCTO_NUTRIENTE</w:t>
        <w:br/>
        <w:t>- producto_id (PK, FK)</w:t>
        <w:br/>
        <w:t>- nutriente_id (PK, FK)</w:t>
        <w:br/>
        <w:t>- valor</w:t>
        <w:br/>
        <w:t xml:space="preserve">        |</w:t>
        <w:br/>
        <w:t xml:space="preserve">        | *</w:t>
        <w:br/>
        <w:t xml:space="preserve">        |</w:t>
        <w:br/>
        <w:t xml:space="preserve">        | 1</w:t>
        <w:br/>
        <w:t>NUTRIENTES</w:t>
        <w:br/>
        <w:t>- id (PK)</w:t>
        <w:br/>
        <w:t>- nombre</w:t>
        <w:br/>
        <w:t>- unidad</w:t>
        <w:br/>
      </w:r>
    </w:p>
    <w:p>
      <w:r>
        <w:t>El modelo de base de datos está normalizado. Los productos se relacionan con los nutrientes a través de una tabla intermedia que permite almacenar valores nutricionales por cada 100 gramos, facilitando el cálculo de porciones personalizadas.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