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Activer la lecture WMI par GPO</w:t>
      </w:r>
    </w:p>
    <w:p>
      <w:pPr>
        <w:pBdr>
          <w:bottom w:val="single" w:color="C9D6E4" w:sz="6" w:space="6"/>
        </w:pBdr>
        <w:spacing w:after="200"/>
      </w:pPr>
      <w:r>
        <w:rPr>
          <w:color w:val="5B5B5B"/>
          <w:sz w:val="22"/>
          <w:szCs w:val="22"/>
        </w:rPr>
        <w:t xml:space="preserve">Mode opératoire pas à pas — Active Directory · Windows Server</w:t>
      </w:r>
    </w:p>
    <w:p>
      <w:pPr>
        <w:spacing w:after="120"/>
      </w:pPr>
      <w:r>
        <w:rPr>
          <w:sz w:val="21"/>
          <w:szCs w:val="21"/>
        </w:rPr>
        <w:t xml:space="preserve">Ce document se suit dans l'ordre, du début à la fin. Comptez vingt minutes la première fois. À la fin, le serveur de supervision pourra lire l'inventaire logiciel des postes du domaine, sans que rien ne soit installé sur eux.</w:t>
      </w:r>
    </w:p>
    <w:p>
      <w:pPr>
        <w:pBdr>
          <w:top w:val="single" w:color="C9D6E4" w:sz="6" w:space="8"/>
          <w:bottom w:val="single" w:color="C9D6E4" w:sz="6" w:space="8"/>
          <w:left w:val="single" w:color="1F4E79" w:sz="18" w:space="10"/>
          <w:right w:val="single" w:color="C9D6E4" w:sz="6" w:space="8"/>
        </w:pBdr>
        <w:spacing w:after="0" w:before="200"/>
      </w:pPr>
      <w:r>
        <w:rPr>
          <w:b/>
          <w:bCs/>
          <w:color w:val="1F4E79"/>
          <w:sz w:val="21"/>
          <w:szCs w:val="21"/>
        </w:rPr>
        <w:t xml:space="preserve">Avant de commencer — trois choses à avoir sous la main</w:t>
      </w:r>
    </w:p>
    <w:p>
      <w:pPr>
        <w:pBdr>
          <w:bottom w:val="single" w:color="C9D6E4" w:sz="6" w:space="8"/>
          <w:left w:val="single" w:color="1F4E79" w:sz="18" w:space="10"/>
          <w:right w:val="single" w:color="C9D6E4" w:sz="6" w:space="8"/>
        </w:pBdr>
        <w:spacing w:after="200"/>
      </w:pPr>
      <w:r>
        <w:rPr>
          <w:sz w:val="20"/>
          <w:szCs w:val="20"/>
        </w:rPr>
        <w:t xml:space="preserve">1) Être connecté au contrôleur de domaine (ou à un poste équipé de la console GPMC) avec un compte membre d'« Admins du domaine ». 2) Connaître le nom de l'unité d'organisation qui contient les postes de travail. 3) Connaître l'adresse IP du serveur de supervision : 192.168.0.71.</w:t>
      </w:r>
    </w:p>
    <w:p>
      <w:pPr>
        <w:pStyle w:val="Heading2"/>
        <w:spacing w:after="120" w:before="300"/>
      </w:pPr>
      <w:r>
        <w:rPr>
          <w:b/>
          <w:bCs/>
          <w:color w:val="5B5B5B"/>
          <w:sz w:val="24"/>
          <w:szCs w:val="24"/>
        </w:rPr>
        <w:t xml:space="preserve">Étape 1 — </w:t>
      </w:r>
      <w:r>
        <w:rPr>
          <w:b/>
          <w:bCs/>
          <w:color w:val="1F4E79"/>
          <w:sz w:val="24"/>
          <w:szCs w:val="24"/>
        </w:rPr>
        <w:t xml:space="preserve">Créer la stratégie de groupe</w:t>
      </w:r>
    </w:p>
    <w:p>
      <w:pPr>
        <w:spacing w:after="120"/>
      </w:pPr>
      <w:r>
        <w:rPr>
          <w:sz w:val="21"/>
          <w:szCs w:val="21"/>
        </w:rPr>
        <w:t xml:space="preserve">Ouvrir la console de gestion des stratégies de groupe :</w:t>
      </w:r>
    </w:p>
    <w:p>
      <w:pPr>
        <w:spacing w:after="80" w:before="40"/>
        <w:ind w:left="300"/>
      </w:pPr>
      <w:r>
        <w:rPr>
          <w:rFonts w:ascii="Consolas" w:cs="Consolas" w:eastAsia="Consolas" w:hAnsi="Consolas"/>
          <w:color w:val="333333"/>
          <w:sz w:val="19"/>
          <w:szCs w:val="19"/>
        </w:rPr>
        <w:t xml:space="preserve">gpmc.msc</w:t>
      </w:r>
    </w:p>
    <w:p>
      <w:pPr>
        <w:pStyle w:val="ListParagraph"/>
        <w:numPr>
          <w:ilvl w:val="0"/>
          <w:numId w:val="2"/>
        </w:numPr>
        <w:spacing w:after="70"/>
      </w:pPr>
      <w:r>
        <w:rPr>
          <w:sz w:val="21"/>
          <w:szCs w:val="21"/>
        </w:rPr>
        <w:t xml:space="preserve">Déplier : Forêt → Domaines → votre domaine.</w:t>
      </w:r>
    </w:p>
    <w:p>
      <w:pPr>
        <w:pStyle w:val="ListParagraph"/>
        <w:numPr>
          <w:ilvl w:val="0"/>
          <w:numId w:val="2"/>
        </w:numPr>
        <w:spacing w:after="70"/>
      </w:pPr>
      <w:r>
        <w:rPr>
          <w:sz w:val="21"/>
          <w:szCs w:val="21"/>
        </w:rPr>
        <w:t xml:space="preserve">Faire un clic droit sur l'unité d'organisation qui contient les POSTES DE TRAVAIL — pas sur le domaine entier, pas sur l'UO des serveurs.</w:t>
      </w:r>
    </w:p>
    <w:p>
      <w:pPr>
        <w:pStyle w:val="ListParagraph"/>
        <w:numPr>
          <w:ilvl w:val="0"/>
          <w:numId w:val="2"/>
        </w:numPr>
        <w:spacing w:after="70"/>
      </w:pPr>
      <w:r>
        <w:rPr>
          <w:sz w:val="21"/>
          <w:szCs w:val="21"/>
        </w:rPr>
        <w:t xml:space="preserve">Choisir « Créer un objet GPO dans ce domaine, et le lier ici… ».</w:t>
      </w:r>
    </w:p>
    <w:p>
      <w:pPr>
        <w:pStyle w:val="ListParagraph"/>
        <w:numPr>
          <w:ilvl w:val="0"/>
          <w:numId w:val="2"/>
        </w:numPr>
        <w:spacing w:after="70"/>
      </w:pPr>
      <w:r>
        <w:rPr>
          <w:sz w:val="21"/>
          <w:szCs w:val="21"/>
        </w:rPr>
        <w:t xml:space="preserve">Nom : Supervision — Lecture WMI (NetSecureManager).</w:t>
      </w:r>
    </w:p>
    <w:p>
      <w:pPr>
        <w:pStyle w:val="ListParagraph"/>
        <w:numPr>
          <w:ilvl w:val="0"/>
          <w:numId w:val="2"/>
        </w:numPr>
        <w:spacing w:after="70"/>
      </w:pPr>
      <w:r>
        <w:rPr>
          <w:sz w:val="21"/>
          <w:szCs w:val="21"/>
        </w:rPr>
        <w:t xml:space="preserve">Clic droit sur la GPO qui vient d'apparaître → « Modifier ». L'éditeur s'ouvre : les étapes 2 à 5 se passent toutes dedans.</w:t>
      </w:r>
    </w:p>
    <w:p>
      <w:pPr>
        <w:pStyle w:val="Heading2"/>
        <w:spacing w:after="120" w:before="300"/>
      </w:pPr>
      <w:r>
        <w:rPr>
          <w:b/>
          <w:bCs/>
          <w:color w:val="5B5B5B"/>
          <w:sz w:val="24"/>
          <w:szCs w:val="24"/>
        </w:rPr>
        <w:t xml:space="preserve">Étape 2 — </w:t>
      </w:r>
      <w:r>
        <w:rPr>
          <w:b/>
          <w:bCs/>
          <w:color w:val="1F4E79"/>
          <w:sz w:val="24"/>
          <w:szCs w:val="24"/>
        </w:rPr>
        <w:t xml:space="preserve">Démarrer le service WinRM sur les postes</w:t>
      </w:r>
    </w:p>
    <w:p>
      <w:pPr>
        <w:spacing w:after="100" w:before="40"/>
        <w:ind w:left="300"/>
      </w:pPr>
      <w:r>
        <w:rPr>
          <w:b/>
          <w:bCs/>
          <w:color w:val="1F4E79"/>
          <w:sz w:val="19"/>
          <w:szCs w:val="19"/>
        </w:rPr>
        <w:t xml:space="preserve">Configuration ordinateur → Stratégies → Paramètres Windows → Paramètres de sécurité → Services système</w:t>
      </w:r>
    </w:p>
    <w:p>
      <w:pPr>
        <w:pStyle w:val="ListParagraph"/>
        <w:numPr>
          <w:ilvl w:val="0"/>
          <w:numId w:val="2"/>
        </w:numPr>
        <w:spacing w:after="70"/>
      </w:pPr>
      <w:r>
        <w:rPr>
          <w:sz w:val="21"/>
          <w:szCs w:val="21"/>
        </w:rPr>
        <w:t xml:space="preserve">Double-cliquer sur « Gestion à distance de Windows (WS-Management) ».</w:t>
      </w:r>
    </w:p>
    <w:p>
      <w:pPr>
        <w:pStyle w:val="ListParagraph"/>
        <w:numPr>
          <w:ilvl w:val="0"/>
          <w:numId w:val="2"/>
        </w:numPr>
        <w:spacing w:after="70"/>
      </w:pPr>
      <w:r>
        <w:rPr>
          <w:sz w:val="21"/>
          <w:szCs w:val="21"/>
        </w:rPr>
        <w:t xml:space="preserve">Cocher « Définir ce paramètre de stratégie ».</w:t>
      </w:r>
    </w:p>
    <w:p>
      <w:pPr>
        <w:pStyle w:val="ListParagraph"/>
        <w:numPr>
          <w:ilvl w:val="0"/>
          <w:numId w:val="2"/>
        </w:numPr>
        <w:spacing w:after="70"/>
      </w:pPr>
      <w:r>
        <w:rPr>
          <w:sz w:val="21"/>
          <w:szCs w:val="21"/>
        </w:rPr>
        <w:t xml:space="preserve">Choisir « Automatique ». Valider.</w:t>
      </w:r>
    </w:p>
    <w:p>
      <w:pPr>
        <w:spacing w:after="120"/>
      </w:pPr>
      <w:r>
        <w:rPr>
          <w:i/>
          <w:iCs/>
          <w:color w:val="5B5B5B"/>
          <w:sz w:val="21"/>
          <w:szCs w:val="21"/>
        </w:rPr>
        <w:t xml:space="preserve">Sans cette étape, le service existe sur chaque poste mais reste arrêté : le port ne s'ouvrira jamais.</w:t>
      </w:r>
    </w:p>
    <w:p>
      <w:pPr>
        <w:pStyle w:val="Heading2"/>
        <w:spacing w:after="120" w:before="300"/>
      </w:pPr>
      <w:r>
        <w:rPr>
          <w:b/>
          <w:bCs/>
          <w:color w:val="5B5B5B"/>
          <w:sz w:val="24"/>
          <w:szCs w:val="24"/>
        </w:rPr>
        <w:t xml:space="preserve">Étape 3 — </w:t>
      </w:r>
      <w:r>
        <w:rPr>
          <w:b/>
          <w:bCs/>
          <w:color w:val="1F4E79"/>
          <w:sz w:val="24"/>
          <w:szCs w:val="24"/>
        </w:rPr>
        <w:t xml:space="preserve">Autoriser l'écoute à distance</w:t>
      </w:r>
    </w:p>
    <w:p>
      <w:pPr>
        <w:spacing w:after="100" w:before="40"/>
        <w:ind w:left="300"/>
      </w:pPr>
      <w:r>
        <w:rPr>
          <w:b/>
          <w:bCs/>
          <w:color w:val="1F4E79"/>
          <w:sz w:val="19"/>
          <w:szCs w:val="19"/>
        </w:rPr>
        <w:t xml:space="preserve">Configuration ordinateur → Stratégies → Modèles d'administration → Composants Windows → Gestion à distance de Windows (WinRM) → Service WinRM</w:t>
      </w:r>
    </w:p>
    <w:p>
      <w:pPr>
        <w:pStyle w:val="ListParagraph"/>
        <w:numPr>
          <w:ilvl w:val="0"/>
          <w:numId w:val="2"/>
        </w:numPr>
        <w:spacing w:after="70"/>
      </w:pPr>
      <w:r>
        <w:rPr>
          <w:sz w:val="21"/>
          <w:szCs w:val="21"/>
        </w:rPr>
        <w:t xml:space="preserve">Double-cliquer sur « Autoriser la gestion à distance du serveur via WinRM ».</w:t>
      </w:r>
    </w:p>
    <w:p>
      <w:pPr>
        <w:pStyle w:val="ListParagraph"/>
        <w:numPr>
          <w:ilvl w:val="0"/>
          <w:numId w:val="2"/>
        </w:numPr>
        <w:spacing w:after="70"/>
      </w:pPr>
      <w:r>
        <w:rPr>
          <w:sz w:val="21"/>
          <w:szCs w:val="21"/>
        </w:rPr>
        <w:t xml:space="preserve">Sélectionner « Activé ».</w:t>
      </w:r>
    </w:p>
    <w:p>
      <w:pPr>
        <w:pStyle w:val="ListParagraph"/>
        <w:numPr>
          <w:ilvl w:val="0"/>
          <w:numId w:val="2"/>
        </w:numPr>
        <w:spacing w:after="70"/>
      </w:pPr>
      <w:r>
        <w:rPr>
          <w:sz w:val="21"/>
          <w:szCs w:val="21"/>
        </w:rPr>
        <w:t xml:space="preserve">Dans « Filtres IPv4 », saisir une étoile : *</w:t>
      </w:r>
    </w:p>
    <w:p>
      <w:pPr>
        <w:pStyle w:val="ListParagraph"/>
        <w:numPr>
          <w:ilvl w:val="0"/>
          <w:numId w:val="2"/>
        </w:numPr>
        <w:spacing w:after="70"/>
      </w:pPr>
      <w:r>
        <w:rPr>
          <w:sz w:val="21"/>
          <w:szCs w:val="21"/>
        </w:rPr>
        <w:t xml:space="preserve">Valider.</w:t>
      </w:r>
    </w:p>
    <w:p>
      <w:pPr>
        <w:spacing w:after="120"/>
      </w:pPr>
      <w:r>
        <w:rPr>
          <w:i/>
          <w:iCs/>
          <w:color w:val="5B5B5B"/>
          <w:sz w:val="21"/>
          <w:szCs w:val="21"/>
        </w:rPr>
        <w:t xml:space="preserve">L'étoile n'ouvre rien à elle seule : elle dit à WinRM sur quelles cartes réseau écouter. C'est le pare-feu, à l'étape suivante, qui décide QUI a le droit de poser une question.</w:t>
      </w:r>
    </w:p>
    <w:p>
      <w:pPr>
        <w:pStyle w:val="Heading2"/>
        <w:spacing w:after="120" w:before="300"/>
      </w:pPr>
      <w:r>
        <w:rPr>
          <w:b/>
          <w:bCs/>
          <w:color w:val="5B5B5B"/>
          <w:sz w:val="24"/>
          <w:szCs w:val="24"/>
        </w:rPr>
        <w:t xml:space="preserve">Étape 4 — </w:t>
      </w:r>
      <w:r>
        <w:rPr>
          <w:b/>
          <w:bCs/>
          <w:color w:val="1F4E79"/>
          <w:sz w:val="24"/>
          <w:szCs w:val="24"/>
        </w:rPr>
        <w:t xml:space="preserve">Ouvrir le pare-feu — pour une seule adresse</w:t>
      </w:r>
    </w:p>
    <w:p>
      <w:pPr>
        <w:spacing w:after="100" w:before="40"/>
        <w:ind w:left="300"/>
      </w:pPr>
      <w:r>
        <w:rPr>
          <w:b/>
          <w:bCs/>
          <w:color w:val="1F4E79"/>
          <w:sz w:val="19"/>
          <w:szCs w:val="19"/>
        </w:rPr>
        <w:t xml:space="preserve">Configuration ordinateur → Stratégies → Paramètres Windows → Paramètres de sécurité → Pare-feu Windows Defender avec fonctions avancées de sécurité → (déplier une seconde fois le même nom) → Règles de trafic entrant</w:t>
      </w:r>
    </w:p>
    <w:p>
      <w:pPr>
        <w:pStyle w:val="ListParagraph"/>
        <w:numPr>
          <w:ilvl w:val="0"/>
          <w:numId w:val="2"/>
        </w:numPr>
        <w:spacing w:after="70"/>
      </w:pPr>
      <w:r>
        <w:rPr>
          <w:sz w:val="21"/>
          <w:szCs w:val="21"/>
        </w:rPr>
        <w:t xml:space="preserve">Clic droit dans la zone vide → « Nouvelle règle… ».</w:t>
      </w:r>
    </w:p>
    <w:p>
      <w:pPr>
        <w:pStyle w:val="ListParagraph"/>
        <w:numPr>
          <w:ilvl w:val="0"/>
          <w:numId w:val="2"/>
        </w:numPr>
        <w:spacing w:after="70"/>
      </w:pPr>
      <w:r>
        <w:rPr>
          <w:sz w:val="21"/>
          <w:szCs w:val="21"/>
        </w:rPr>
        <w:t xml:space="preserve">Type de règle : Port. Suivant.</w:t>
      </w:r>
    </w:p>
    <w:p>
      <w:pPr>
        <w:pStyle w:val="ListParagraph"/>
        <w:numPr>
          <w:ilvl w:val="0"/>
          <w:numId w:val="2"/>
        </w:numPr>
        <w:spacing w:after="70"/>
      </w:pPr>
      <w:r>
        <w:rPr>
          <w:sz w:val="21"/>
          <w:szCs w:val="21"/>
        </w:rPr>
        <w:t xml:space="preserve">TCP → « Ports locaux spécifiques » → 5985. Suivant.</w:t>
      </w:r>
    </w:p>
    <w:p>
      <w:pPr>
        <w:pStyle w:val="ListParagraph"/>
        <w:numPr>
          <w:ilvl w:val="0"/>
          <w:numId w:val="2"/>
        </w:numPr>
        <w:spacing w:after="70"/>
      </w:pPr>
      <w:r>
        <w:rPr>
          <w:sz w:val="21"/>
          <w:szCs w:val="21"/>
        </w:rPr>
        <w:t xml:space="preserve">Action : « Autoriser la connexion ». Suivant.</w:t>
      </w:r>
    </w:p>
    <w:p>
      <w:pPr>
        <w:pStyle w:val="ListParagraph"/>
        <w:numPr>
          <w:ilvl w:val="0"/>
          <w:numId w:val="2"/>
        </w:numPr>
        <w:spacing w:after="70"/>
      </w:pPr>
      <w:r>
        <w:rPr>
          <w:sz w:val="21"/>
          <w:szCs w:val="21"/>
        </w:rPr>
        <w:t xml:space="preserve">Profil : cocher Domaine UNIQUEMENT, décocher Privé et Public. Suivant.</w:t>
      </w:r>
    </w:p>
    <w:p>
      <w:pPr>
        <w:pStyle w:val="ListParagraph"/>
        <w:numPr>
          <w:ilvl w:val="0"/>
          <w:numId w:val="2"/>
        </w:numPr>
        <w:spacing w:after="70"/>
      </w:pPr>
      <w:r>
        <w:rPr>
          <w:sz w:val="21"/>
          <w:szCs w:val="21"/>
        </w:rPr>
        <w:t xml:space="preserve">Nom : WinRM entrant — serveur de supervision. Terminer.</w:t>
      </w:r>
    </w:p>
    <w:p>
      <w:pPr>
        <w:spacing w:after="120"/>
      </w:pPr>
      <w:r>
        <w:rPr>
          <w:b/>
          <w:bCs/>
          <w:sz w:val="21"/>
          <w:szCs w:val="21"/>
        </w:rPr>
        <w:t xml:space="preserve">Puis — et c'est le point de sécurité essentiel :</w:t>
      </w:r>
    </w:p>
    <w:p>
      <w:pPr>
        <w:pStyle w:val="ListParagraph"/>
        <w:numPr>
          <w:ilvl w:val="0"/>
          <w:numId w:val="2"/>
        </w:numPr>
        <w:spacing w:after="70"/>
      </w:pPr>
      <w:r>
        <w:rPr>
          <w:sz w:val="21"/>
          <w:szCs w:val="21"/>
        </w:rPr>
        <w:t xml:space="preserve">Double-cliquer sur la règle qui vient d'être créée.</w:t>
      </w:r>
    </w:p>
    <w:p>
      <w:pPr>
        <w:pStyle w:val="ListParagraph"/>
        <w:numPr>
          <w:ilvl w:val="0"/>
          <w:numId w:val="2"/>
        </w:numPr>
        <w:spacing w:after="70"/>
      </w:pPr>
      <w:r>
        <w:rPr>
          <w:sz w:val="21"/>
          <w:szCs w:val="21"/>
        </w:rPr>
        <w:t xml:space="preserve">Onglet « Étendue » → cadre « Adresse IP distante » → « Ces adresses IP » → Ajouter.</w:t>
      </w:r>
    </w:p>
    <w:p>
      <w:pPr>
        <w:pStyle w:val="ListParagraph"/>
        <w:numPr>
          <w:ilvl w:val="0"/>
          <w:numId w:val="2"/>
        </w:numPr>
        <w:spacing w:after="70"/>
      </w:pPr>
      <w:r>
        <w:rPr>
          <w:sz w:val="21"/>
          <w:szCs w:val="21"/>
        </w:rPr>
        <w:t xml:space="preserve">Saisir 192.168.0.71. Valider deux fois.</w:t>
      </w:r>
    </w:p>
    <w:p>
      <w:pPr>
        <w:spacing w:after="120"/>
      </w:pPr>
      <w:r>
        <w:rPr>
          <w:i/>
          <w:iCs/>
          <w:color w:val="5B5B5B"/>
          <w:sz w:val="21"/>
          <w:szCs w:val="21"/>
        </w:rPr>
        <w:t xml:space="preserve">À partir de là, le port 5985 n'est ouvert que pour le serveur de supervision. Toute autre machine du réseau se voit refuser la connexion exactement comme avant.</w:t>
      </w:r>
    </w:p>
    <w:p>
      <w:pPr>
        <w:pStyle w:val="Heading2"/>
        <w:spacing w:after="120" w:before="300"/>
      </w:pPr>
      <w:r>
        <w:rPr>
          <w:b/>
          <w:bCs/>
          <w:color w:val="5B5B5B"/>
          <w:sz w:val="24"/>
          <w:szCs w:val="24"/>
        </w:rPr>
        <w:t xml:space="preserve">Étape 5 — </w:t>
      </w:r>
      <w:r>
        <w:rPr>
          <w:b/>
          <w:bCs/>
          <w:color w:val="1F4E79"/>
          <w:sz w:val="24"/>
          <w:szCs w:val="24"/>
        </w:rPr>
        <w:t xml:space="preserve">Créer le compte de supervision et lui donner accès</w:t>
      </w:r>
    </w:p>
    <w:p>
      <w:pPr>
        <w:spacing w:after="120"/>
      </w:pPr>
      <w:r>
        <w:rPr>
          <w:sz w:val="21"/>
          <w:szCs w:val="21"/>
        </w:rPr>
        <w:t xml:space="preserve">D'abord dans Active Directory (console « Utilisateurs et ordinateurs ») :</w:t>
      </w:r>
    </w:p>
    <w:p>
      <w:pPr>
        <w:pStyle w:val="ListParagraph"/>
        <w:numPr>
          <w:ilvl w:val="0"/>
          <w:numId w:val="2"/>
        </w:numPr>
        <w:spacing w:after="70"/>
      </w:pPr>
      <w:r>
        <w:rPr>
          <w:sz w:val="21"/>
          <w:szCs w:val="21"/>
        </w:rPr>
        <w:t xml:space="preserve">Créer un utilisateur dédié, par exemple svc_netsecure, avec « Le mot de passe n'expire jamais ».</w:t>
      </w:r>
    </w:p>
    <w:p>
      <w:pPr>
        <w:pStyle w:val="ListParagraph"/>
        <w:numPr>
          <w:ilvl w:val="0"/>
          <w:numId w:val="2"/>
        </w:numPr>
        <w:spacing w:after="70"/>
      </w:pPr>
      <w:r>
        <w:rPr>
          <w:sz w:val="21"/>
          <w:szCs w:val="21"/>
        </w:rPr>
        <w:t xml:space="preserve">Créer un groupe global, par exemple GG_Supervision_Lecture, et y mettre ce compte.</w:t>
      </w:r>
    </w:p>
    <w:p>
      <w:pPr>
        <w:spacing w:after="120"/>
      </w:pPr>
      <w:r>
        <w:rPr>
          <w:sz w:val="21"/>
          <w:szCs w:val="21"/>
        </w:rPr>
        <w:t xml:space="preserve">Puis, de retour dans l'éditeur de la GPO :</w:t>
      </w:r>
    </w:p>
    <w:p>
      <w:pPr>
        <w:spacing w:after="100" w:before="40"/>
        <w:ind w:left="300"/>
      </w:pPr>
      <w:r>
        <w:rPr>
          <w:b/>
          <w:bCs/>
          <w:color w:val="1F4E79"/>
          <w:sz w:val="19"/>
          <w:szCs w:val="19"/>
        </w:rPr>
        <w:t xml:space="preserve">Configuration ordinateur → Préférences → Paramètres du Panneau de configuration → Utilisateurs et groupes locaux</w:t>
      </w:r>
    </w:p>
    <w:p>
      <w:pPr>
        <w:pStyle w:val="ListParagraph"/>
        <w:numPr>
          <w:ilvl w:val="0"/>
          <w:numId w:val="2"/>
        </w:numPr>
        <w:spacing w:after="70"/>
      </w:pPr>
      <w:r>
        <w:rPr>
          <w:sz w:val="21"/>
          <w:szCs w:val="21"/>
        </w:rPr>
        <w:t xml:space="preserve">Clic droit → Nouveau → « Groupe local ».</w:t>
      </w:r>
    </w:p>
    <w:p>
      <w:pPr>
        <w:pStyle w:val="ListParagraph"/>
        <w:numPr>
          <w:ilvl w:val="0"/>
          <w:numId w:val="2"/>
        </w:numPr>
        <w:spacing w:after="70"/>
      </w:pPr>
      <w:r>
        <w:rPr>
          <w:sz w:val="21"/>
          <w:szCs w:val="21"/>
        </w:rPr>
        <w:t xml:space="preserve">Action : « Mettre à jour ».</w:t>
      </w:r>
    </w:p>
    <w:p>
      <w:pPr>
        <w:pStyle w:val="ListParagraph"/>
        <w:numPr>
          <w:ilvl w:val="0"/>
          <w:numId w:val="2"/>
        </w:numPr>
        <w:spacing w:after="70"/>
      </w:pPr>
      <w:r>
        <w:rPr>
          <w:sz w:val="21"/>
          <w:szCs w:val="21"/>
        </w:rPr>
        <w:t xml:space="preserve">Nom du groupe : « Utilisateurs de la gestion à distance (intégré) ».</w:t>
      </w:r>
    </w:p>
    <w:p>
      <w:pPr>
        <w:pStyle w:val="ListParagraph"/>
        <w:numPr>
          <w:ilvl w:val="0"/>
          <w:numId w:val="2"/>
        </w:numPr>
        <w:spacing w:after="70"/>
      </w:pPr>
      <w:r>
        <w:rPr>
          <w:sz w:val="21"/>
          <w:szCs w:val="21"/>
        </w:rPr>
        <w:t xml:space="preserve">« Ajouter… » → VOTREDOMAINE\GG_Supervision_Lecture.</w:t>
      </w:r>
    </w:p>
    <w:p>
      <w:pPr>
        <w:pStyle w:val="ListParagraph"/>
        <w:numPr>
          <w:ilvl w:val="0"/>
          <w:numId w:val="2"/>
        </w:numPr>
        <w:spacing w:after="70"/>
      </w:pPr>
      <w:r>
        <w:rPr>
          <w:b/>
          <w:bCs/>
          <w:sz w:val="21"/>
          <w:szCs w:val="21"/>
        </w:rPr>
        <w:t xml:space="preserve">NE PAS cocher « Supprimer tous les membres… » : cela viderait le groupe existant sur chaque poste.</w:t>
      </w:r>
    </w:p>
    <w:p>
      <w:pPr>
        <w:pBdr>
          <w:top w:val="single" w:color="C9D6E4" w:sz="6" w:space="8"/>
          <w:bottom w:val="single" w:color="C9D6E4" w:sz="6" w:space="8"/>
          <w:left w:val="single" w:color="1F4E79" w:sz="18" w:space="10"/>
          <w:right w:val="single" w:color="C9D6E4" w:sz="6" w:space="8"/>
        </w:pBdr>
        <w:spacing w:after="0" w:before="200"/>
      </w:pPr>
      <w:r>
        <w:rPr>
          <w:b/>
          <w:bCs/>
          <w:color w:val="1F4E79"/>
          <w:sz w:val="21"/>
          <w:szCs w:val="21"/>
        </w:rPr>
        <w:t xml:space="preserve">Un détail qui décide de tout : le droit de LIRE WMI</w:t>
      </w:r>
    </w:p>
    <w:p>
      <w:pPr>
        <w:pBdr>
          <w:bottom w:val="single" w:color="C9D6E4" w:sz="6" w:space="8"/>
          <w:left w:val="single" w:color="1F4E79" w:sz="18" w:space="10"/>
          <w:right w:val="single" w:color="C9D6E4" w:sz="6" w:space="8"/>
        </w:pBdr>
        <w:spacing w:after="200"/>
      </w:pPr>
      <w:r>
        <w:rPr>
          <w:sz w:val="20"/>
          <w:szCs w:val="20"/>
        </w:rPr>
        <w:t xml:space="preserve">Appartenir aux « Utilisateurs de la gestion à distance » autorise à se connecter, pas encore à lire l'espace WMI root\CIMV2 à distance. Deux façons de finir : (A) l'administrateur accorde « Activer à distance » sur root\CIMV2 au groupe, par un script de démarrage déployé par cette même GPO — c'est la façon propre, et un administrateur système sait la mettre en place ; (B) plus rapide : refaire l'étape 5 en visant le groupe « Administrateurs (intégré) » au lieu des « Utilisateurs de la gestion à distance ». Cela fonctionne immédiatement, mais donne au compte bien plus que la lecture. Choisir A quand c'est possible.</w:t>
      </w:r>
    </w:p>
    <w:p>
      <w:pPr>
        <w:pStyle w:val="Heading2"/>
        <w:spacing w:after="120" w:before="300"/>
      </w:pPr>
      <w:r>
        <w:rPr>
          <w:b/>
          <w:bCs/>
          <w:color w:val="5B5B5B"/>
          <w:sz w:val="24"/>
          <w:szCs w:val="24"/>
        </w:rPr>
        <w:t xml:space="preserve">Étape 6 — </w:t>
      </w:r>
      <w:r>
        <w:rPr>
          <w:b/>
          <w:bCs/>
          <w:color w:val="1F4E79"/>
          <w:sz w:val="24"/>
          <w:szCs w:val="24"/>
        </w:rPr>
        <w:t xml:space="preserve">Appliquer sur UN poste témoin, pas sur tout le parc</w:t>
      </w:r>
    </w:p>
    <w:p>
      <w:pPr>
        <w:spacing w:after="120"/>
      </w:pPr>
      <w:r>
        <w:rPr>
          <w:sz w:val="21"/>
          <w:szCs w:val="21"/>
        </w:rPr>
        <w:t xml:space="preserve">Ne liez pas la GPO à toute l'entreprise du premier coup. Créez une petite unité d'organisation de test, mettez-y un ou deux postes, liez la GPO dessus, vérifiez — puis étendez.</w:t>
      </w:r>
    </w:p>
    <w:p>
      <w:pPr>
        <w:spacing w:after="120"/>
      </w:pPr>
      <w:r>
        <w:rPr>
          <w:sz w:val="21"/>
          <w:szCs w:val="21"/>
        </w:rPr>
        <w:t xml:space="preserve">Sur le poste témoin, en tant qu'administrateur :</w:t>
      </w:r>
    </w:p>
    <w:p>
      <w:pPr>
        <w:spacing w:after="80" w:before="40"/>
        <w:ind w:left="300"/>
      </w:pPr>
      <w:r>
        <w:rPr>
          <w:rFonts w:ascii="Consolas" w:cs="Consolas" w:eastAsia="Consolas" w:hAnsi="Consolas"/>
          <w:color w:val="333333"/>
          <w:sz w:val="19"/>
          <w:szCs w:val="19"/>
        </w:rPr>
        <w:t xml:space="preserve">gpupdate /force</w:t>
      </w:r>
    </w:p>
    <w:p>
      <w:pPr>
        <w:spacing w:after="120"/>
      </w:pPr>
      <w:r>
        <w:rPr>
          <w:b/>
          <w:bCs/>
          <w:sz w:val="21"/>
          <w:szCs w:val="21"/>
        </w:rPr>
        <w:t xml:space="preserve">Puis REDÉMARRER le poste : le service WinRM ne démarre qu'au démarrage de Windows.</w:t>
      </w:r>
    </w:p>
    <w:p>
      <w:pPr>
        <w:pStyle w:val="Heading2"/>
        <w:spacing w:after="120" w:before="300"/>
      </w:pPr>
      <w:r>
        <w:rPr>
          <w:b/>
          <w:bCs/>
          <w:color w:val="5B5B5B"/>
          <w:sz w:val="24"/>
          <w:szCs w:val="24"/>
        </w:rPr>
        <w:t xml:space="preserve">Étape 7 — </w:t>
      </w:r>
      <w:r>
        <w:rPr>
          <w:b/>
          <w:bCs/>
          <w:color w:val="1F4E79"/>
          <w:sz w:val="24"/>
          <w:szCs w:val="24"/>
        </w:rPr>
        <w:t xml:space="preserve">Vérifier depuis le serveur de supervision</w:t>
      </w:r>
    </w:p>
    <w:p>
      <w:pPr>
        <w:spacing w:after="120"/>
      </w:pPr>
      <w:r>
        <w:rPr>
          <w:sz w:val="21"/>
          <w:szCs w:val="21"/>
        </w:rPr>
        <w:t xml:space="preserve">Trois commandes, dans l'ordre. Chacune doit réussir avant de passer à la suivante :</w:t>
      </w:r>
    </w:p>
    <w:p>
      <w:pPr>
        <w:spacing w:after="80" w:before="40"/>
        <w:ind w:left="300"/>
      </w:pPr>
      <w:r>
        <w:rPr>
          <w:rFonts w:ascii="Consolas" w:cs="Consolas" w:eastAsia="Consolas" w:hAnsi="Consolas"/>
          <w:color w:val="333333"/>
          <w:sz w:val="19"/>
          <w:szCs w:val="19"/>
        </w:rPr>
        <w:t xml:space="preserve">Test-NetConnection 192.168.0.X -Port 5985</w:t>
      </w:r>
    </w:p>
    <w:p>
      <w:pPr>
        <w:spacing w:after="120"/>
        <w:ind w:left="300"/>
      </w:pPr>
      <w:r>
        <w:rPr>
          <w:color w:val="5B5B5B"/>
          <w:sz w:val="21"/>
          <w:szCs w:val="21"/>
        </w:rPr>
        <w:t xml:space="preserve">→ doit afficher TcpTestSucceeded : True. Sinon, revoir l'étape 4.</w:t>
      </w:r>
    </w:p>
    <w:p>
      <w:pPr>
        <w:spacing w:after="80" w:before="40"/>
        <w:ind w:left="300"/>
      </w:pPr>
      <w:r>
        <w:rPr>
          <w:rFonts w:ascii="Consolas" w:cs="Consolas" w:eastAsia="Consolas" w:hAnsi="Consolas"/>
          <w:color w:val="333333"/>
          <w:sz w:val="19"/>
          <w:szCs w:val="19"/>
        </w:rPr>
        <w:t xml:space="preserve">Get-CimInstance -ComputerName 192.168.0.X -ClassName Win32_OperatingSystem</w:t>
      </w:r>
    </w:p>
    <w:p>
      <w:pPr>
        <w:spacing w:after="120"/>
        <w:ind w:left="300"/>
      </w:pPr>
      <w:r>
        <w:rPr>
          <w:color w:val="5B5B5B"/>
          <w:sz w:val="21"/>
          <w:szCs w:val="21"/>
        </w:rPr>
        <w:t xml:space="preserve">→ doit renvoyer le nom et la version de Windows. Si le message parle d'accès refusé, revoir l'étape 5.</w:t>
      </w:r>
    </w:p>
    <w:p>
      <w:pPr>
        <w:spacing w:after="80" w:before="40"/>
        <w:ind w:left="300"/>
      </w:pPr>
      <w:r>
        <w:rPr>
          <w:rFonts w:ascii="Consolas" w:cs="Consolas" w:eastAsia="Consolas" w:hAnsi="Consolas"/>
          <w:color w:val="333333"/>
          <w:sz w:val="19"/>
          <w:szCs w:val="19"/>
        </w:rPr>
        <w:t xml:space="preserve">Get-CimInstance -ComputerName 192.168.0.X -ClassName Win32_Process | Measure-Object</w:t>
      </w:r>
    </w:p>
    <w:p>
      <w:pPr>
        <w:spacing w:after="120"/>
        <w:ind w:left="300"/>
      </w:pPr>
      <w:r>
        <w:rPr>
          <w:color w:val="5B5B5B"/>
          <w:sz w:val="21"/>
          <w:szCs w:val="21"/>
        </w:rPr>
        <w:t xml:space="preserve">→ doit compter plusieurs dizaines de processus. La porte est ouverte.</w:t>
      </w:r>
    </w:p>
    <w:p>
      <w:pPr>
        <w:pStyle w:val="Heading2"/>
        <w:spacing w:after="120" w:before="300"/>
      </w:pPr>
      <w:r>
        <w:rPr>
          <w:b/>
          <w:bCs/>
          <w:color w:val="5B5B5B"/>
          <w:sz w:val="24"/>
          <w:szCs w:val="24"/>
        </w:rPr>
        <w:t xml:space="preserve">Étape 8 — </w:t>
      </w:r>
      <w:r>
        <w:rPr>
          <w:b/>
          <w:bCs/>
          <w:color w:val="1F4E79"/>
          <w:sz w:val="24"/>
          <w:szCs w:val="24"/>
        </w:rPr>
        <w:t xml:space="preserve">Rallumer la fonction dans NetSecureManager</w:t>
      </w:r>
    </w:p>
    <w:p>
      <w:pPr>
        <w:spacing w:after="120"/>
      </w:pPr>
      <w:r>
        <w:rPr>
          <w:sz w:val="21"/>
          <w:szCs w:val="21"/>
        </w:rPr>
        <w:t xml:space="preserve">Dans le fichier backend\.env, une seule ligne à remettre à 1 :</w:t>
      </w:r>
    </w:p>
    <w:p>
      <w:pPr>
        <w:spacing w:after="80" w:before="40"/>
        <w:ind w:left="300"/>
      </w:pPr>
      <w:r>
        <w:rPr>
          <w:rFonts w:ascii="Consolas" w:cs="Consolas" w:eastAsia="Consolas" w:hAnsi="Consolas"/>
          <w:color w:val="333333"/>
          <w:sz w:val="19"/>
          <w:szCs w:val="19"/>
        </w:rPr>
        <w:t xml:space="preserve">WINDOWS_INVENTAIRE=1</w:t>
      </w:r>
    </w:p>
    <w:p>
      <w:pPr>
        <w:pStyle w:val="ListParagraph"/>
        <w:numPr>
          <w:ilvl w:val="0"/>
          <w:numId w:val="2"/>
        </w:numPr>
        <w:spacing w:after="70"/>
      </w:pPr>
      <w:r>
        <w:rPr>
          <w:sz w:val="21"/>
          <w:szCs w:val="21"/>
        </w:rPr>
        <w:t xml:space="preserve">Arrêter puis relancer le backend.</w:t>
      </w:r>
    </w:p>
    <w:p>
      <w:pPr>
        <w:pStyle w:val="ListParagraph"/>
        <w:numPr>
          <w:ilvl w:val="0"/>
          <w:numId w:val="2"/>
        </w:numPr>
        <w:spacing w:after="70"/>
      </w:pPr>
      <w:r>
        <w:rPr>
          <w:sz w:val="21"/>
          <w:szCs w:val="21"/>
        </w:rPr>
        <w:t xml:space="preserve">Relancer un scan.</w:t>
      </w:r>
    </w:p>
    <w:p>
      <w:pPr>
        <w:pStyle w:val="ListParagraph"/>
        <w:numPr>
          <w:ilvl w:val="0"/>
          <w:numId w:val="2"/>
        </w:numPr>
        <w:spacing w:after="70"/>
      </w:pPr>
      <w:r>
        <w:rPr>
          <w:sz w:val="21"/>
          <w:szCs w:val="21"/>
        </w:rPr>
        <w:t xml:space="preserve">La console affiche alors : « Lecture Windows : N poste(s) à interroger… » puis le nombre de machines qui ont répondu.</w:t>
      </w:r>
    </w:p>
    <w:p>
      <w:pPr>
        <w:pStyle w:val="Heading2"/>
        <w:spacing w:after="120" w:before="300"/>
      </w:pPr>
      <w:r>
        <w:rPr>
          <w:b/>
          <w:bCs/>
          <w:color w:val="5B5B5B"/>
          <w:sz w:val="24"/>
          <w:szCs w:val="24"/>
        </w:rPr>
        <w:t xml:space="preserve">Étape 9 — </w:t>
      </w:r>
      <w:r>
        <w:rPr>
          <w:b/>
          <w:bCs/>
          <w:color w:val="1F4E79"/>
          <w:sz w:val="24"/>
          <w:szCs w:val="24"/>
        </w:rPr>
        <w:t xml:space="preserve">Revenir en arrière, si besoin</w:t>
      </w:r>
    </w:p>
    <w:p>
      <w:pPr>
        <w:spacing w:after="120"/>
      </w:pPr>
      <w:r>
        <w:rPr>
          <w:sz w:val="21"/>
          <w:szCs w:val="21"/>
        </w:rPr>
        <w:t xml:space="preserve">Dans gpmc.msc, clic droit sur le lien de la GPO → décocher « Lien activé », puis gpupdate /force sur les postes. Le service WinRM se rarrête, la règle de pare-feu disparaît, le groupe est rendu à son état d'origine. Aucune trace ne subsiste : rien n'avait été installé.</w:t>
      </w:r>
    </w:p>
    <w:p>
      <w:pPr>
        <w:pBdr>
          <w:top w:val="single" w:color="C9D6E4" w:sz="6" w:space="6"/>
        </w:pBdr>
        <w:spacing w:before="400"/>
      </w:pPr>
      <w:r>
        <w:rPr>
          <w:i/>
          <w:iCs/>
          <w:color w:val="5B5B5B"/>
          <w:sz w:val="19"/>
          <w:szCs w:val="19"/>
        </w:rPr>
        <w:t xml:space="preserve">Si l'accès administrateur au domaine n'est pas accordé, aucune de ces étapes n'est réalisable, et c'est normal : elles modifient la configuration de sécurité de tout le parc. La solution de repli ne demande alors aucun droit : le script d'inventaire, lancé par chaque utilisateur ou déployé en tâche planifiée.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2026-09-15T14:21:29.959Z</dcterms:created>
  <dcterms:modified xsi:type="dcterms:W3CDTF">2026-09-15T14:21:29.967Z</dcterms:modified>
</cp:coreProperties>
</file>

<file path=docProps/custom.xml><?xml version="1.0" encoding="utf-8"?>
<Properties xmlns="http://schemas.openxmlformats.org/officeDocument/2006/custom-properties" xmlns:vt="http://schemas.openxmlformats.org/officeDocument/2006/docPropsVTypes"/>
</file>