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b/>
          <w:sz w:val="36"/>
          <w:szCs w:val="36"/>
        </w:rPr>
      </w:pPr>
      <w:r>
        <w:rPr>
          <w:rFonts w:cs="Times New Roman"/>
          <w:b/>
          <w:sz w:val="36"/>
          <w:szCs w:val="36"/>
        </w:rPr>
        <w:t>RESEARCH PAPER REVIEW AND IMPLEMENTATION REPORT</w:t>
      </w:r>
    </w:p>
    <w:p>
      <w:pPr>
        <w:pStyle w:val="Normal"/>
        <w:jc w:val="center"/>
        <w:rPr>
          <w:rFonts w:ascii="Times New Roman" w:hAnsi="Times New Roman" w:cs="Times New Roman"/>
          <w:b/>
          <w:bCs/>
          <w:sz w:val="36"/>
          <w:szCs w:val="36"/>
        </w:rPr>
      </w:pPr>
      <w:r>
        <w:rPr>
          <w:rFonts w:cs="Times New Roman"/>
          <w:b/>
          <w:bCs/>
          <w:sz w:val="36"/>
          <w:szCs w:val="36"/>
        </w:rPr>
      </w:r>
    </w:p>
    <w:p>
      <w:pPr>
        <w:pStyle w:val="Normal"/>
        <w:spacing w:before="0" w:after="100"/>
        <w:jc w:val="center"/>
        <w:rPr>
          <w:rFonts w:ascii="Times New Roman" w:hAnsi="Times New Roman" w:cs="Times New Roman"/>
          <w:b/>
          <w:bCs/>
          <w:sz w:val="36"/>
          <w:szCs w:val="36"/>
        </w:rPr>
      </w:pPr>
      <w:r>
        <w:rPr>
          <w:rFonts w:cs="Times New Roman"/>
          <w:b/>
          <w:bCs/>
          <w:sz w:val="36"/>
          <w:szCs w:val="36"/>
        </w:rPr>
        <w:t>ON THE ARTICLE</w:t>
      </w:r>
    </w:p>
    <w:p>
      <w:pPr>
        <w:pStyle w:val="Normal"/>
        <w:jc w:val="center"/>
        <w:rPr>
          <w:rFonts w:ascii="Times New Roman" w:hAnsi="Times New Roman" w:cs="Times New Roman"/>
          <w:b/>
          <w:bCs/>
          <w:sz w:val="36"/>
          <w:szCs w:val="36"/>
        </w:rPr>
      </w:pPr>
      <w:r>
        <w:rPr>
          <w:rFonts w:cs="Times New Roman"/>
          <w:b/>
          <w:bCs/>
          <w:sz w:val="36"/>
          <w:szCs w:val="36"/>
        </w:rPr>
      </w:r>
    </w:p>
    <w:p>
      <w:pPr>
        <w:pStyle w:val="Normal"/>
        <w:spacing w:before="0" w:after="100"/>
        <w:jc w:val="center"/>
        <w:rPr>
          <w:rFonts w:ascii="Times New Roman" w:hAnsi="Times New Roman" w:cs="Times New Roman"/>
          <w:b/>
          <w:bCs/>
          <w:sz w:val="36"/>
          <w:szCs w:val="36"/>
        </w:rPr>
      </w:pPr>
      <w:r>
        <w:rPr>
          <w:rFonts w:cs="Times New Roman"/>
          <w:b/>
          <w:bCs/>
          <w:sz w:val="36"/>
          <w:szCs w:val="36"/>
        </w:rPr>
        <w:t>A Survey on Evaluation of Large Language Models</w:t>
      </w:r>
    </w:p>
    <w:p>
      <w:pPr>
        <w:pStyle w:val="Normal"/>
        <w:jc w:val="center"/>
        <w:rPr>
          <w:rFonts w:ascii="Times New Roman" w:hAnsi="Times New Roman" w:cs="Times New Roman"/>
          <w:b/>
          <w:bCs/>
          <w:sz w:val="44"/>
          <w:szCs w:val="28"/>
        </w:rPr>
      </w:pPr>
      <w:r>
        <w:rPr>
          <w:rFonts w:cs="Times New Roman"/>
          <w:b/>
          <w:bCs/>
          <w:sz w:val="44"/>
          <w:szCs w:val="28"/>
        </w:rPr>
      </w:r>
    </w:p>
    <w:p>
      <w:pPr>
        <w:pStyle w:val="Normal"/>
        <w:spacing w:before="0" w:after="100"/>
        <w:jc w:val="center"/>
        <w:rPr>
          <w:rFonts w:ascii="Times New Roman" w:hAnsi="Times New Roman" w:cs="Times New Roman"/>
          <w:sz w:val="32"/>
          <w:szCs w:val="32"/>
        </w:rPr>
      </w:pPr>
      <w:r>
        <w:rPr>
          <w:rFonts w:cs="Times New Roman"/>
          <w:sz w:val="32"/>
          <w:szCs w:val="32"/>
        </w:rPr>
        <w:t>Submitted By</w:t>
      </w:r>
    </w:p>
    <w:p>
      <w:pPr>
        <w:pStyle w:val="Normal"/>
        <w:jc w:val="center"/>
        <w:rPr>
          <w:rFonts w:ascii="Times New Roman" w:hAnsi="Times New Roman" w:cs="Times New Roman"/>
          <w:sz w:val="32"/>
          <w:szCs w:val="32"/>
        </w:rPr>
      </w:pPr>
      <w:r>
        <w:rPr>
          <w:rFonts w:cs="Times New Roman"/>
          <w:sz w:val="32"/>
          <w:szCs w:val="32"/>
        </w:rPr>
      </w:r>
    </w:p>
    <w:p>
      <w:pPr>
        <w:pStyle w:val="Normal"/>
        <w:jc w:val="center"/>
        <w:rPr>
          <w:rFonts w:ascii="Times New Roman" w:hAnsi="Times New Roman" w:cs="Times New Roman"/>
          <w:i/>
          <w:iCs/>
          <w:sz w:val="32"/>
          <w:szCs w:val="32"/>
        </w:rPr>
      </w:pPr>
      <w:r>
        <w:rPr>
          <w:rFonts w:cs="Times New Roman"/>
          <w:i/>
          <w:iCs/>
          <w:sz w:val="32"/>
          <w:szCs w:val="32"/>
        </w:rPr>
        <w:t>Harikrishnan S</w:t>
      </w:r>
      <w:r>
        <w:rPr>
          <w:rFonts w:cs="Times New Roman"/>
          <w:i/>
          <w:iCs/>
          <w:sz w:val="32"/>
          <w:szCs w:val="32"/>
        </w:rPr>
        <w:t xml:space="preserve"> </w:t>
      </w:r>
      <w:r>
        <w:rPr>
          <w:rFonts w:cs="Times New Roman"/>
          <w:i/>
          <w:iCs/>
          <w:sz w:val="32"/>
          <w:szCs w:val="32"/>
        </w:rPr>
        <w:t>(2024BCS0025</w:t>
      </w:r>
      <w:r>
        <w:rPr>
          <w:rFonts w:cs="Times New Roman"/>
          <w:i/>
          <w:iCs/>
          <w:sz w:val="32"/>
          <w:szCs w:val="32"/>
        </w:rPr>
        <w:t>)</w:t>
      </w:r>
    </w:p>
    <w:p>
      <w:pPr>
        <w:pStyle w:val="Normal"/>
        <w:jc w:val="center"/>
        <w:rPr>
          <w:rFonts w:ascii="Times New Roman" w:hAnsi="Times New Roman" w:cs="Times New Roman"/>
          <w:i/>
          <w:iCs/>
          <w:sz w:val="32"/>
          <w:szCs w:val="32"/>
        </w:rPr>
      </w:pPr>
      <w:r>
        <w:rPr>
          <w:rFonts w:cs="Times New Roman"/>
          <w:i/>
          <w:iCs/>
          <w:sz w:val="32"/>
          <w:szCs w:val="32"/>
        </w:rPr>
        <w:t>Muhamed Fadhil (2024BCS0093)</w:t>
      </w:r>
    </w:p>
    <w:p>
      <w:pPr>
        <w:pStyle w:val="Normal"/>
        <w:jc w:val="center"/>
        <w:rPr>
          <w:rFonts w:ascii="Times New Roman" w:hAnsi="Times New Roman" w:cs="Times New Roman"/>
          <w:i/>
          <w:iCs/>
          <w:sz w:val="32"/>
          <w:szCs w:val="32"/>
        </w:rPr>
      </w:pPr>
      <w:r>
        <w:rPr>
          <w:rFonts w:cs="Times New Roman"/>
          <w:i/>
          <w:iCs/>
          <w:sz w:val="32"/>
          <w:szCs w:val="32"/>
        </w:rPr>
        <w:t>Anjo P S</w:t>
      </w:r>
      <w:r>
        <w:rPr>
          <w:rFonts w:cs="Times New Roman"/>
          <w:i/>
          <w:iCs/>
          <w:sz w:val="32"/>
          <w:szCs w:val="32"/>
        </w:rPr>
        <w:t xml:space="preserve"> (2024BCS009</w:t>
      </w:r>
      <w:r>
        <w:rPr>
          <w:rFonts w:cs="Times New Roman"/>
          <w:i/>
          <w:iCs/>
          <w:sz w:val="32"/>
          <w:szCs w:val="32"/>
        </w:rPr>
        <w:t>7</w:t>
      </w:r>
      <w:r>
        <w:rPr>
          <w:rFonts w:cs="Times New Roman"/>
          <w:i/>
          <w:iCs/>
          <w:sz w:val="32"/>
          <w:szCs w:val="32"/>
        </w:rPr>
        <w:t>)</w:t>
      </w:r>
    </w:p>
    <w:p>
      <w:pPr>
        <w:pStyle w:val="Normal"/>
        <w:spacing w:before="0" w:after="100"/>
        <w:jc w:val="center"/>
        <w:rPr>
          <w:rFonts w:ascii="Times New Roman" w:hAnsi="Times New Roman" w:cs="Times New Roman"/>
          <w:i/>
          <w:iCs/>
          <w:sz w:val="32"/>
          <w:szCs w:val="32"/>
        </w:rPr>
      </w:pPr>
      <w:r>
        <w:rPr>
          <w:rFonts w:cs="Times New Roman"/>
          <w:i/>
          <w:iCs/>
          <w:sz w:val="32"/>
          <w:szCs w:val="32"/>
        </w:rPr>
        <w:t>A R Akshith</w:t>
      </w:r>
      <w:r>
        <w:rPr>
          <w:rFonts w:cs="Times New Roman"/>
          <w:i/>
          <w:iCs/>
          <w:sz w:val="32"/>
          <w:szCs w:val="32"/>
        </w:rPr>
        <w:t xml:space="preserve"> (2024B</w:t>
      </w:r>
      <w:r>
        <w:rPr>
          <w:rFonts w:cs="Times New Roman"/>
          <w:i/>
          <w:iCs/>
          <w:sz w:val="32"/>
          <w:szCs w:val="32"/>
        </w:rPr>
        <w:t>EC0021</w:t>
      </w:r>
      <w:r>
        <w:rPr>
          <w:rFonts w:cs="Times New Roman"/>
          <w:i/>
          <w:iCs/>
          <w:sz w:val="32"/>
          <w:szCs w:val="32"/>
        </w:rPr>
        <w:t>)</w:t>
      </w:r>
    </w:p>
    <w:p>
      <w:pPr>
        <w:pStyle w:val="Normal"/>
        <w:spacing w:before="0" w:after="100"/>
        <w:jc w:val="center"/>
        <w:rPr>
          <w:rFonts w:ascii="Times New Roman" w:hAnsi="Times New Roman" w:cs="Times New Roman"/>
          <w:i/>
          <w:iCs/>
          <w:sz w:val="32"/>
          <w:szCs w:val="32"/>
        </w:rPr>
      </w:pPr>
      <w:r>
        <w:rPr>
          <w:rFonts w:cs="Times New Roman"/>
          <w:i/>
          <w:iCs/>
          <w:sz w:val="32"/>
          <w:szCs w:val="32"/>
        </w:rPr>
        <w:t xml:space="preserve">Manhal KM </w:t>
      </w:r>
      <w:r>
        <w:rPr>
          <w:rFonts w:cs="Times New Roman"/>
          <w:i/>
          <w:iCs/>
          <w:sz w:val="32"/>
          <w:szCs w:val="32"/>
        </w:rPr>
        <w:t>(</w:t>
      </w:r>
      <w:r>
        <w:rPr>
          <w:rFonts w:cs="Times New Roman"/>
          <w:i/>
          <w:iCs/>
          <w:sz w:val="32"/>
          <w:szCs w:val="32"/>
        </w:rPr>
        <w:t>2024BEC0029</w:t>
      </w:r>
      <w:r>
        <w:rPr>
          <w:rFonts w:cs="Times New Roman"/>
          <w:i/>
          <w:iCs/>
          <w:sz w:val="32"/>
          <w:szCs w:val="32"/>
        </w:rPr>
        <w:t>)</w:t>
      </w:r>
    </w:p>
    <w:p>
      <w:pPr>
        <w:pStyle w:val="Normal"/>
        <w:jc w:val="center"/>
        <w:rPr>
          <w:rFonts w:ascii="Times New Roman" w:hAnsi="Times New Roman" w:cs="Times New Roman"/>
          <w:i/>
          <w:iCs/>
          <w:sz w:val="32"/>
          <w:szCs w:val="32"/>
        </w:rPr>
      </w:pPr>
      <w:r>
        <w:rPr>
          <w:rFonts w:cs="Times New Roman"/>
          <w:i/>
          <w:iCs/>
          <w:sz w:val="32"/>
          <w:szCs w:val="32"/>
        </w:rPr>
      </w:r>
    </w:p>
    <w:p>
      <w:pPr>
        <w:pStyle w:val="Normal"/>
        <w:rPr>
          <w:rFonts w:ascii="Times New Roman" w:hAnsi="Times New Roman" w:cs="Times New Roman"/>
          <w:i/>
          <w:iCs/>
          <w:sz w:val="32"/>
          <w:szCs w:val="32"/>
        </w:rPr>
      </w:pPr>
      <w:r>
        <w:rPr>
          <w:rFonts w:cs="Times New Roman"/>
          <w:i/>
          <w:iCs/>
          <w:sz w:val="32"/>
          <w:szCs w:val="32"/>
        </w:rPr>
      </w:r>
    </w:p>
    <w:p>
      <w:pPr>
        <w:pStyle w:val="Normal"/>
        <w:jc w:val="center"/>
        <w:rPr>
          <w:rFonts w:ascii="Times New Roman" w:hAnsi="Times New Roman" w:cs="Times New Roman"/>
          <w:b/>
          <w:iCs/>
          <w:sz w:val="32"/>
          <w:szCs w:val="32"/>
        </w:rPr>
      </w:pPr>
      <w:r>
        <w:rPr>
          <w:rFonts w:cs="Times New Roman"/>
          <w:b/>
          <w:iCs/>
          <w:sz w:val="32"/>
          <w:szCs w:val="32"/>
        </w:rPr>
        <w:t xml:space="preserve">Course: CSE 311 Artificial Intelligence </w:t>
      </w:r>
    </w:p>
    <w:p>
      <w:pPr>
        <w:pStyle w:val="Normal"/>
        <w:spacing w:before="0" w:after="100"/>
        <w:jc w:val="center"/>
        <w:rPr>
          <w:rFonts w:ascii="Times New Roman" w:hAnsi="Times New Roman" w:cs="Times New Roman"/>
          <w:b/>
          <w:iCs/>
          <w:sz w:val="32"/>
          <w:szCs w:val="32"/>
        </w:rPr>
      </w:pPr>
      <w:r>
        <w:rPr>
          <w:rFonts w:cs="Times New Roman"/>
          <w:b/>
          <w:iCs/>
          <w:sz w:val="32"/>
          <w:szCs w:val="32"/>
        </w:rPr>
        <w:t>Course instructor: Dr. A V Prajeesh</w:t>
      </w:r>
    </w:p>
    <w:p>
      <w:pPr>
        <w:pStyle w:val="Normal"/>
        <w:rPr>
          <w:rFonts w:ascii="Times New Roman" w:hAnsi="Times New Roman" w:cs="Times New Roman"/>
          <w:sz w:val="32"/>
          <w:szCs w:val="32"/>
        </w:rPr>
      </w:pPr>
      <w:r>
        <w:rPr>
          <w:rFonts w:cs="Times New Roman"/>
          <w:sz w:val="32"/>
          <w:szCs w:val="32"/>
        </w:rPr>
      </w:r>
    </w:p>
    <w:p>
      <w:pPr>
        <w:pStyle w:val="Normal"/>
        <w:spacing w:before="0" w:after="100"/>
        <w:jc w:val="center"/>
        <w:rPr>
          <w:rFonts w:ascii="Times New Roman" w:hAnsi="Times New Roman" w:cs="Times New Roman"/>
          <w:b/>
          <w:bCs/>
          <w:sz w:val="32"/>
          <w:szCs w:val="32"/>
        </w:rPr>
      </w:pPr>
      <w:bookmarkStart w:id="0" w:name="_GoBack"/>
      <w:bookmarkEnd w:id="0"/>
      <w:r>
        <w:rPr>
          <w:rFonts w:cs="Times New Roman"/>
          <w:b/>
          <w:bCs/>
          <w:sz w:val="32"/>
          <w:szCs w:val="32"/>
        </w:rPr>
        <w:t>INDIAN INSTITUTE OF INFORMATION TECHNOLOGY KOTTAYAM</w:t>
      </w:r>
    </w:p>
    <w:p>
      <w:pPr>
        <w:pStyle w:val="Normal"/>
        <w:jc w:val="center"/>
        <w:rPr>
          <w:rFonts w:ascii="Times New Roman" w:hAnsi="Times New Roman" w:cs="Times New Roman"/>
        </w:rPr>
      </w:pPr>
      <w:r>
        <w:rPr/>
        <w:drawing>
          <wp:inline distT="0" distB="0" distL="0" distR="0">
            <wp:extent cx="1821180" cy="978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1180" cy="978535"/>
                    </a:xfrm>
                    <a:prstGeom prst="rect">
                      <a:avLst/>
                    </a:prstGeom>
                    <a:noFill/>
                  </pic:spPr>
                </pic:pic>
              </a:graphicData>
            </a:graphic>
          </wp:inline>
        </w:drawing>
      </w:r>
      <w:r>
        <w:br w:type="page"/>
      </w:r>
    </w:p>
    <w:p>
      <w:pPr>
        <w:pStyle w:val="Normal"/>
        <w:spacing w:before="0" w:after="120"/>
        <w:jc w:val="center"/>
        <w:rPr>
          <w:rFonts w:ascii="Times New Roman" w:hAnsi="Times New Roman" w:cs="Times New Roman"/>
          <w:b/>
          <w:bCs/>
          <w:sz w:val="36"/>
          <w:szCs w:val="36"/>
        </w:rPr>
      </w:pPr>
      <w:r>
        <w:rPr>
          <w:rFonts w:cs="Times New Roman"/>
          <w:b/>
          <w:bCs/>
          <w:sz w:val="36"/>
          <w:szCs w:val="36"/>
        </w:rPr>
        <w:t>Contents</w:t>
      </w:r>
    </w:p>
    <w:p>
      <w:pPr>
        <w:pStyle w:val="Normal"/>
        <w:jc w:val="end"/>
        <w:rPr>
          <w:rFonts w:ascii="Times New Roman" w:hAnsi="Times New Roman" w:cs="Times New Roman"/>
          <w:sz w:val="28"/>
          <w:szCs w:val="28"/>
        </w:rPr>
      </w:pPr>
      <w:r>
        <w:rPr>
          <w:sz w:val="28"/>
        </w:rPr>
        <w:t>Page No.</w:t>
      </w:r>
    </w:p>
    <w:p>
      <w:pPr>
        <w:pStyle w:val="Normal"/>
        <w:tabs>
          <w:tab w:val="clear" w:pos="720"/>
          <w:tab w:val="right" w:pos="9288" w:leader="dot"/>
        </w:tabs>
        <w:spacing w:before="0" w:after="240"/>
        <w:rPr>
          <w:rFonts w:ascii="Times New Roman" w:hAnsi="Times New Roman" w:cs="Times New Roman"/>
          <w:sz w:val="30"/>
          <w:szCs w:val="30"/>
        </w:rPr>
      </w:pPr>
      <w:r>
        <w:rPr>
          <w:sz w:val="28"/>
        </w:rPr>
        <w:t>Introduction</w:t>
        <w:tab/>
        <w:t>1</w:t>
      </w:r>
    </w:p>
    <w:p>
      <w:pPr>
        <w:pStyle w:val="Normal"/>
        <w:tabs>
          <w:tab w:val="clear" w:pos="720"/>
          <w:tab w:val="right" w:pos="9288" w:leader="dot"/>
        </w:tabs>
        <w:spacing w:before="0" w:after="240"/>
        <w:rPr>
          <w:rFonts w:ascii="Times New Roman" w:hAnsi="Times New Roman" w:cs="Times New Roman"/>
          <w:sz w:val="30"/>
          <w:szCs w:val="30"/>
        </w:rPr>
      </w:pPr>
      <w:r>
        <w:rPr>
          <w:sz w:val="28"/>
        </w:rPr>
        <w:t>Motivation</w:t>
        <w:tab/>
        <w:t>1</w:t>
      </w:r>
    </w:p>
    <w:p>
      <w:pPr>
        <w:pStyle w:val="Normal"/>
        <w:tabs>
          <w:tab w:val="clear" w:pos="720"/>
          <w:tab w:val="right" w:pos="9288" w:leader="dot"/>
        </w:tabs>
        <w:spacing w:before="0" w:after="240"/>
        <w:rPr>
          <w:rFonts w:ascii="Times New Roman" w:hAnsi="Times New Roman" w:cs="Times New Roman"/>
          <w:sz w:val="30"/>
          <w:szCs w:val="30"/>
        </w:rPr>
      </w:pPr>
      <w:r>
        <w:rPr>
          <w:sz w:val="28"/>
        </w:rPr>
        <w:t>Problem statement</w:t>
        <w:tab/>
        <w:t>1</w:t>
      </w:r>
    </w:p>
    <w:p>
      <w:pPr>
        <w:pStyle w:val="Normal"/>
        <w:tabs>
          <w:tab w:val="clear" w:pos="720"/>
          <w:tab w:val="right" w:pos="9288" w:leader="dot"/>
        </w:tabs>
        <w:spacing w:before="0" w:after="240"/>
        <w:rPr>
          <w:rFonts w:ascii="Times New Roman" w:hAnsi="Times New Roman" w:cs="Times New Roman"/>
          <w:sz w:val="30"/>
          <w:szCs w:val="30"/>
        </w:rPr>
      </w:pPr>
      <w:r>
        <w:rPr>
          <w:sz w:val="28"/>
        </w:rPr>
        <w:t>Literature survey</w:t>
        <w:tab/>
        <w:t>2</w:t>
      </w:r>
    </w:p>
    <w:p>
      <w:pPr>
        <w:pStyle w:val="Normal"/>
        <w:tabs>
          <w:tab w:val="clear" w:pos="720"/>
          <w:tab w:val="right" w:pos="9288" w:leader="dot"/>
        </w:tabs>
        <w:spacing w:before="0" w:after="240"/>
        <w:rPr>
          <w:rFonts w:ascii="Times New Roman" w:hAnsi="Times New Roman" w:cs="Times New Roman"/>
          <w:sz w:val="30"/>
          <w:szCs w:val="30"/>
        </w:rPr>
      </w:pPr>
      <w:r>
        <w:rPr>
          <w:sz w:val="28"/>
        </w:rPr>
        <w:t>Review of the Proposed Methodology</w:t>
        <w:tab/>
        <w:t>3</w:t>
      </w:r>
    </w:p>
    <w:p>
      <w:pPr>
        <w:pStyle w:val="Normal"/>
        <w:tabs>
          <w:tab w:val="clear" w:pos="720"/>
          <w:tab w:val="right" w:pos="9288" w:leader="dot"/>
        </w:tabs>
        <w:spacing w:before="0" w:after="240"/>
        <w:rPr>
          <w:rFonts w:ascii="Times New Roman" w:hAnsi="Times New Roman" w:cs="Times New Roman"/>
          <w:sz w:val="30"/>
          <w:szCs w:val="30"/>
        </w:rPr>
      </w:pPr>
      <w:r>
        <w:rPr>
          <w:sz w:val="28"/>
        </w:rPr>
        <w:t>Results and Discussion</w:t>
        <w:tab/>
        <w:t>5</w:t>
      </w:r>
    </w:p>
    <w:p>
      <w:pPr>
        <w:pStyle w:val="Normal"/>
        <w:tabs>
          <w:tab w:val="clear" w:pos="720"/>
          <w:tab w:val="right" w:pos="9288" w:leader="dot"/>
        </w:tabs>
        <w:spacing w:before="0" w:after="240"/>
        <w:rPr>
          <w:rFonts w:ascii="Times New Roman" w:hAnsi="Times New Roman" w:cs="Times New Roman"/>
          <w:sz w:val="30"/>
          <w:szCs w:val="30"/>
        </w:rPr>
      </w:pPr>
      <w:r>
        <w:rPr>
          <w:sz w:val="28"/>
        </w:rPr>
        <w:t>Conclusion</w:t>
        <w:tab/>
        <w:t>6</w:t>
      </w:r>
    </w:p>
    <w:p>
      <w:pPr>
        <w:pStyle w:val="Normal"/>
        <w:tabs>
          <w:tab w:val="clear" w:pos="720"/>
          <w:tab w:val="right" w:pos="9288" w:leader="dot"/>
        </w:tabs>
        <w:spacing w:before="0" w:after="240"/>
        <w:rPr>
          <w:rFonts w:ascii="Times New Roman" w:hAnsi="Times New Roman" w:cs="Times New Roman"/>
          <w:sz w:val="30"/>
          <w:szCs w:val="30"/>
        </w:rPr>
      </w:pPr>
      <w:r>
        <w:rPr>
          <w:sz w:val="28"/>
        </w:rPr>
        <w:t>Future Work</w:t>
        <w:tab/>
        <w:t>6</w:t>
      </w:r>
    </w:p>
    <w:p>
      <w:pPr>
        <w:pStyle w:val="Normal"/>
        <w:tabs>
          <w:tab w:val="clear" w:pos="720"/>
          <w:tab w:val="right" w:pos="9288" w:leader="dot"/>
        </w:tabs>
        <w:spacing w:before="0" w:after="240"/>
        <w:rPr>
          <w:rFonts w:ascii="Times New Roman" w:hAnsi="Times New Roman" w:cs="Times New Roman"/>
          <w:sz w:val="30"/>
          <w:szCs w:val="30"/>
        </w:rPr>
      </w:pPr>
      <w:r>
        <w:rPr>
          <w:sz w:val="28"/>
        </w:rPr>
        <w:t>References</w:t>
        <w:tab/>
        <w:t>7</w:t>
      </w:r>
    </w:p>
    <w:p>
      <w:pPr>
        <w:pStyle w:val="Normal"/>
        <w:tabs>
          <w:tab w:val="clear" w:pos="720"/>
          <w:tab w:val="right" w:pos="9288" w:leader="dot"/>
        </w:tabs>
        <w:spacing w:before="0" w:after="120"/>
        <w:rPr>
          <w:rFonts w:ascii="Times New Roman" w:hAnsi="Times New Roman" w:cs="Times New Roman"/>
          <w:sz w:val="30"/>
          <w:szCs w:val="30"/>
        </w:rPr>
        <w:sectPr>
          <w:type w:val="nextPage"/>
          <w:pgSz w:w="12240" w:h="15840"/>
          <w:pgMar w:left="1440" w:right="1440" w:gutter="0" w:header="0" w:top="1152" w:footer="0" w:bottom="1152"/>
          <w:pgNumType w:fmt="decimal"/>
          <w:formProt w:val="false"/>
          <w:textDirection w:val="lrTb"/>
          <w:docGrid w:type="default" w:linePitch="360" w:charSpace="0"/>
        </w:sectPr>
      </w:pPr>
      <w:r>
        <w:rPr>
          <w:sz w:val="28"/>
        </w:rPr>
        <w:t>GitHub Repository and Reproducibility Details</w:t>
        <w:tab/>
        <w:t>8</w:t>
      </w:r>
      <w:r>
        <w:br w:type="page"/>
      </w:r>
    </w:p>
    <w:p>
      <w:pPr>
        <w:pStyle w:val="Heading1"/>
        <w:spacing w:before="0" w:after="140"/>
        <w:rPr/>
      </w:pPr>
      <w:r>
        <w:rPr/>
        <w:t>Introduction</w:t>
      </w:r>
    </w:p>
    <w:p>
      <w:pPr>
        <w:pStyle w:val="Normal"/>
        <w:jc w:val="both"/>
        <w:rPr/>
      </w:pPr>
      <w:r>
        <w:rPr/>
        <w:t>The article A Survey on Evaluation of Large Language Models by Chang and colleagues organizes a broad research field around three questions: what to evaluate, where to evaluate it, and how to evaluate it [1]. This report reviews that framework and examines how the LLM Comparison Lab turns a limited part of it into a local application. The application gives two selected provider routes the same questions, records the design and attempts, and exposes task-specific checks, responses, human review, and exports.</w:t>
      </w:r>
    </w:p>
    <w:p>
      <w:pPr>
        <w:pStyle w:val="Normal"/>
        <w:jc w:val="both"/>
        <w:rPr/>
      </w:pPr>
      <w:r>
        <w:rPr/>
        <w:t>The central conclusion is deliberately narrow. The Lab provides a reproducible record of the inputs and observations for a small comparison. It does not reproduce every benchmark in the survey, establish a general model ranking, or make a hosted model behave deterministically. An answer that looks convincing can still be wrong, incomplete, or unavailable. The report therefore separates answer quality, completion, latency, and provenance rather than reducing them to a single winner.</w:t>
      </w:r>
    </w:p>
    <w:p>
      <w:pPr>
        <w:pStyle w:val="Normal"/>
        <w:jc w:val="both"/>
        <w:rPr/>
      </w:pPr>
      <w:r>
        <w:rPr/>
        <w:t>The review focuses on the current React frontend and FastAPI, SQLAlchemy, SQLite, and durable-worker backend. The root Flask and command-line prototype remains in the repository as historical code; its dataset and run records are not mixed with the current application. Evidence cited below comes from the primary paper, four bounded related sources, current methodology documentation, inspected code, and dated local verification records.</w:t>
      </w:r>
    </w:p>
    <w:p>
      <w:pPr>
        <w:pStyle w:val="Heading1"/>
        <w:pageBreakBefore w:val="false"/>
        <w:rPr/>
      </w:pPr>
      <w:r>
        <w:rPr/>
        <w:t>Motivation</w:t>
      </w:r>
    </w:p>
    <w:p>
      <w:pPr>
        <w:pStyle w:val="Normal"/>
        <w:jc w:val="both"/>
        <w:rPr/>
      </w:pPr>
      <w:r>
        <w:rPr/>
        <w:t>LLM evaluation is difficult because a model can perform well on one task and fail on another. Prompt wording, reference quality, dataset selection, provider routing, and missing responses all affect what an observed score means. The survey treats task selection, dataset choice, and assessment method as connected decisions [1]. HELM likewise argues for transparent scenario and metric coverage rather than one unexplained number [2].</w:t>
      </w:r>
    </w:p>
    <w:p>
      <w:pPr>
        <w:pStyle w:val="Normal"/>
        <w:jc w:val="both"/>
        <w:rPr/>
      </w:pPr>
      <w:r>
        <w:rPr/>
        <w:t>A beginner-facing comparison tool can hide these decisions. For example, two answers displayed side by side may not show that one route failed on several other questions, that the questions were authored for a demonstration, or that a text-overlap score is only a proxy for summary quality. The Lab makes these conditions visible. Its design also guards against treating a configured API key or a selectable catalog entry as proof that generation has succeeded.</w:t>
      </w:r>
    </w:p>
    <w:p>
      <w:pPr>
        <w:pStyle w:val="Heading1"/>
        <w:pageBreakBefore w:val="false"/>
        <w:rPr/>
      </w:pPr>
      <w:r>
        <w:rPr/>
        <w:t>Problem statement</w:t>
      </w:r>
    </w:p>
    <w:p>
      <w:pPr>
        <w:pStyle w:val="Normal"/>
        <w:jc w:val="both"/>
        <w:rPr/>
      </w:pPr>
      <w:r>
        <w:rPr/>
        <w:t>The project asks: How can a small, two-route LLM comparison be made reproducible and interpretable enough for a student to inspect its evidence? The unit of comparison is a named provider route under a frozen local design, not an abstract model name detached from provider and time. The project seeks an auditable process, not a population-level performance estimate.</w:t>
      </w:r>
    </w:p>
    <w:p>
      <w:pPr>
        <w:pStyle w:val="Normal"/>
        <w:spacing w:before="0" w:after="60"/>
        <w:ind w:hanging="230" w:start="360"/>
        <w:rPr/>
      </w:pPr>
      <w:r>
        <w:rPr/>
        <w:t xml:space="preserve">•  </w:t>
      </w:r>
      <w:r>
        <w:rPr/>
        <w:t>Give both routes the same selected questions and shared instruction while retaining exact route identity.</w:t>
      </w:r>
    </w:p>
    <w:p>
      <w:pPr>
        <w:pStyle w:val="Normal"/>
        <w:spacing w:before="0" w:after="60"/>
        <w:ind w:hanging="230" w:start="360"/>
        <w:rPr/>
      </w:pPr>
      <w:r>
        <w:rPr/>
        <w:t xml:space="preserve">•  </w:t>
      </w:r>
      <w:r>
        <w:rPr/>
        <w:t>Version and validate question data; preserve source, license, split, family, and scoring metadata.</w:t>
      </w:r>
    </w:p>
    <w:p>
      <w:pPr>
        <w:pStyle w:val="Normal"/>
        <w:spacing w:before="0" w:after="60"/>
        <w:ind w:hanging="230" w:start="360"/>
        <w:rPr/>
      </w:pPr>
      <w:r>
        <w:rPr/>
        <w:t xml:space="preserve">•  </w:t>
      </w:r>
      <w:r>
        <w:rPr/>
        <w:t>Record planned jobs, each dispatch attempt, failures, omissions, outputs, and the conditions under which scores were computed.</w:t>
      </w:r>
    </w:p>
    <w:p>
      <w:pPr>
        <w:pStyle w:val="Normal"/>
        <w:spacing w:before="0" w:after="60"/>
        <w:ind w:hanging="230" w:start="360"/>
        <w:rPr/>
      </w:pPr>
      <w:r>
        <w:rPr/>
        <w:t xml:space="preserve">•  </w:t>
      </w:r>
      <w:r>
        <w:rPr/>
        <w:t>Report task-specific checks with eligible and scheduled denominators, and keep human preferences separate from automatic correctness.</w:t>
      </w:r>
    </w:p>
    <w:p>
      <w:pPr>
        <w:pStyle w:val="Normal"/>
        <w:jc w:val="both"/>
        <w:rPr/>
      </w:pPr>
      <w:r>
        <w:rPr/>
        <w:t>These objectives correspond to a bounded subset of the survey. The survey itself is an organizing review, not a prescribed software architecture or checklist for a single implementation [1].</w:t>
      </w:r>
    </w:p>
    <w:p>
      <w:pPr>
        <w:pStyle w:val="Heading1"/>
        <w:pageBreakBefore w:val="false"/>
        <w:rPr/>
      </w:pPr>
      <w:r>
        <w:rPr/>
        <w:t>Literature survey</w:t>
      </w:r>
    </w:p>
    <w:p>
      <w:pPr>
        <w:pStyle w:val="Heading2"/>
        <w:pageBreakBefore w:val="false"/>
        <w:rPr/>
      </w:pPr>
      <w:r>
        <w:rPr/>
        <w:t>The primary survey</w:t>
      </w:r>
    </w:p>
    <w:p>
      <w:pPr>
        <w:pStyle w:val="Normal"/>
        <w:jc w:val="both"/>
        <w:rPr/>
      </w:pPr>
      <w:r>
        <w:rPr/>
        <w:t>Chang et al. review the evaluation landscape through WHAT (tasks and risks), WHERE (data and benchmarks), and HOW (protocols and assessment) [1]. Their taxonomy extends far beyond the Lab, including natural language tasks, reasoning, robustness, ethics, medical applications, and agents. The survey also discusses task-dependent metrics and human evaluation. The Lab borrows the structure for reporting, but its local question sets cannot represent the survey’s full scope. Its strongest contribution to this project is a discipline of matching each claim to a task, data source, and method.</w:t>
      </w:r>
    </w:p>
    <w:p>
      <w:pPr>
        <w:pStyle w:val="Heading2"/>
        <w:pageBreakBefore w:val="false"/>
        <w:rPr/>
      </w:pPr>
      <w:r>
        <w:rPr/>
        <w:t>Four supporting papers</w:t>
      </w:r>
    </w:p>
    <w:p>
      <w:pPr>
        <w:pStyle w:val="Normal"/>
        <w:jc w:val="both"/>
        <w:rPr/>
      </w:pPr>
      <w:r>
        <w:rPr/>
        <w:t>Liang et al. present HELM as a broad, transparent, multi-metric evaluation framework [2]. The Lab adapts the reporting principle by separating quality checks from completion, failures, route latency, and provenance. It does not run HELM scenarios or reproduce its published results. Zhou et al. develop IFEval around verifiable instructions [3]. The Lab implements a smaller set of declared exact-text, exact-JSON, substring, and word-count checks; it does not run the official IFEval dataset or evaluator.</w:t>
      </w:r>
    </w:p>
    <w:p>
      <w:pPr>
        <w:pStyle w:val="Normal"/>
        <w:jc w:val="both"/>
        <w:rPr/>
      </w:pPr>
      <w:r>
        <w:rPr/>
        <w:t>Dror et al. explain that statistical tests should fit the task, metric, and experimental assumptions [4]. The Lab uses its own paired-family bootstrap policy rather than copying a formula from that article. Zheng et al. examine human preference and biases in LLM judges, including answer order and verbosity [5]. The Lab has local blinded A/B human review, but no MT-Bench, Chatbot Arena, or AI judge. Its local evaluator labels do not prove independent raters.</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4"/>
        <w:gridCol w:w="3962"/>
        <w:gridCol w:w="3744"/>
      </w:tblGrid>
      <w:tr>
        <w:trPr>
          <w:tblHeader w:val="true"/>
        </w:trPr>
        <w:tc>
          <w:tcPr>
            <w:tcW w:w="1654"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Source</w:t>
            </w:r>
          </w:p>
        </w:tc>
        <w:tc>
          <w:tcPr>
            <w:tcW w:w="3962"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Project relationship</w:t>
            </w:r>
          </w:p>
        </w:tc>
        <w:tc>
          <w:tcPr>
            <w:tcW w:w="3744"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Limit</w:t>
            </w:r>
          </w:p>
        </w:tc>
      </w:tr>
      <w:tr>
        <w:trPr/>
        <w:tc>
          <w:tcPr>
            <w:tcW w:w="165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Chang et al. [1]</w:t>
            </w:r>
          </w:p>
        </w:tc>
        <w:tc>
          <w:tcPr>
            <w:tcW w:w="396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WHAT / WHERE / HOW reporting frame</w:t>
            </w:r>
          </w:p>
        </w:tc>
        <w:tc>
          <w:tcPr>
            <w:tcW w:w="37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Limited subset of the survey</w:t>
            </w:r>
          </w:p>
        </w:tc>
      </w:tr>
      <w:tr>
        <w:trPr/>
        <w:tc>
          <w:tcPr>
            <w:tcW w:w="165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HELM [2]</w:t>
            </w:r>
          </w:p>
        </w:tc>
        <w:tc>
          <w:tcPr>
            <w:tcW w:w="3962"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Separate metrics, coverage, and conditions</w:t>
            </w:r>
          </w:p>
        </w:tc>
        <w:tc>
          <w:tcPr>
            <w:tcW w:w="374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No HELM scenario suite</w:t>
            </w:r>
          </w:p>
        </w:tc>
      </w:tr>
      <w:tr>
        <w:trPr/>
        <w:tc>
          <w:tcPr>
            <w:tcW w:w="165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IFEval [3]</w:t>
            </w:r>
          </w:p>
        </w:tc>
        <w:tc>
          <w:tcPr>
            <w:tcW w:w="396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Bounded verifiable-instruction checks</w:t>
            </w:r>
          </w:p>
        </w:tc>
        <w:tc>
          <w:tcPr>
            <w:tcW w:w="37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No official IFEval score</w:t>
            </w:r>
          </w:p>
        </w:tc>
      </w:tr>
      <w:tr>
        <w:trPr/>
        <w:tc>
          <w:tcPr>
            <w:tcW w:w="165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Dror et al. [4]</w:t>
            </w:r>
          </w:p>
        </w:tc>
        <w:tc>
          <w:tcPr>
            <w:tcW w:w="3962"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Inference aligned with paired question families</w:t>
            </w:r>
          </w:p>
        </w:tc>
        <w:tc>
          <w:tcPr>
            <w:tcW w:w="374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Bootstrap policy is local</w:t>
            </w:r>
          </w:p>
        </w:tc>
      </w:tr>
      <w:tr>
        <w:trPr/>
        <w:tc>
          <w:tcPr>
            <w:tcW w:w="165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Zheng et al. [5]</w:t>
            </w:r>
          </w:p>
        </w:tc>
        <w:tc>
          <w:tcPr>
            <w:tcW w:w="396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Blinded preference review and bias awareness</w:t>
            </w:r>
          </w:p>
        </w:tc>
        <w:tc>
          <w:tcPr>
            <w:tcW w:w="37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No Arena or AI judge</w:t>
            </w:r>
          </w:p>
        </w:tc>
      </w:tr>
    </w:tbl>
    <w:p>
      <w:pPr>
        <w:pStyle w:val="Normal"/>
        <w:rPr/>
      </w:pPr>
      <w:r>
        <w:rPr/>
      </w:r>
    </w:p>
    <w:p>
      <w:pPr>
        <w:pStyle w:val="Normal"/>
        <w:jc w:val="both"/>
        <w:rPr/>
      </w:pPr>
      <w:r>
        <w:rPr/>
        <w:t>The strength of this combined literature is its attention to different sources of validity: what is measured, how examples are selected, how automated rules behave, whether repeated observations are independent, and whether preferences are biased. Its practical limit for this project is that none of the papers validates the Lab’s small authored dataset or turns local verification into a broad model-performance study.</w:t>
      </w:r>
    </w:p>
    <w:p>
      <w:pPr>
        <w:pStyle w:val="Heading1"/>
        <w:pageBreakBefore w:val="false"/>
        <w:rPr/>
      </w:pPr>
      <w:r>
        <w:rPr/>
        <w:t>Review of the Proposed Methodology</w:t>
      </w:r>
    </w:p>
    <w:p>
      <w:pPr>
        <w:pStyle w:val="Heading2"/>
        <w:pageBreakBefore w:val="false"/>
        <w:rPr/>
      </w:pPr>
      <w:r>
        <w:rPr/>
        <w:t>Application and experiment design</w:t>
      </w:r>
    </w:p>
    <w:p>
      <w:pPr>
        <w:pStyle w:val="Normal"/>
        <w:jc w:val="both"/>
        <w:rPr/>
      </w:pPr>
      <w:r>
        <w:rPr/>
        <w:t>The current system uses a React guided interface, a FastAPI backend, SQLAlchemy models on SQLite, and a separate durable worker. The interface selects questions and two exact provider routes, then displays a review estimate before Start. Backend validation freezes the dataset version and experiment configuration when a run begins. The two slots share the selected questions and instruction, but provider route and time remain possible confounds. A local seed makes question selection repeatable; it cannot make hosted model text deterministic.</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44"/>
        <w:gridCol w:w="7416"/>
      </w:tblGrid>
      <w:tr>
        <w:trPr>
          <w:tblHeader w:val="true"/>
        </w:trPr>
        <w:tc>
          <w:tcPr>
            <w:tcW w:w="1944"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Stage</w:t>
            </w:r>
          </w:p>
        </w:tc>
        <w:tc>
          <w:tcPr>
            <w:tcW w:w="7416"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Evidence retained or checked</w:t>
            </w:r>
          </w:p>
        </w:tc>
      </w:tr>
      <w:tr>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Dataset import</w:t>
            </w:r>
          </w:p>
        </w:tc>
        <w:tc>
          <w:tcPr>
            <w:tcW w:w="741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Validated CSV/JSONL, source, license, split, family, variant, content hash</w:t>
            </w:r>
          </w:p>
        </w:tc>
      </w:tr>
      <w:tr>
        <w:trPr/>
        <w:tc>
          <w:tcPr>
            <w:tcW w:w="194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Experiment</w:t>
            </w:r>
          </w:p>
        </w:tc>
        <w:tc>
          <w:tcPr>
            <w:tcW w:w="7416"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Frozen question set, route pair, instruction, settings, repetitions, attempt cap</w:t>
            </w:r>
          </w:p>
        </w:tc>
      </w:tr>
      <w:tr>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Worker</w:t>
            </w:r>
          </w:p>
        </w:tc>
        <w:tc>
          <w:tcPr>
            <w:tcW w:w="741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Durable job and attempt status, provider response or failure, retry and pause reason</w:t>
            </w:r>
          </w:p>
        </w:tc>
      </w:tr>
      <w:tr>
        <w:trPr/>
        <w:tc>
          <w:tcPr>
            <w:tcW w:w="1944"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Assessment</w:t>
            </w:r>
          </w:p>
        </w:tc>
        <w:tc>
          <w:tcPr>
            <w:tcW w:w="7416"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Versioned task checks, eligibility denominator, saved analysis snapshot</w:t>
            </w:r>
          </w:p>
        </w:tc>
      </w:tr>
      <w:tr>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Review and export</w:t>
            </w:r>
          </w:p>
        </w:tc>
        <w:tc>
          <w:tcPr>
            <w:tcW w:w="7416"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Identity-redacted A/B choices, route mapping, CSV/JSON/HTML/Markdown reports</w:t>
            </w:r>
          </w:p>
        </w:tc>
      </w:tr>
    </w:tbl>
    <w:p>
      <w:pPr>
        <w:pStyle w:val="Normal"/>
        <w:rPr/>
      </w:pPr>
      <w:r>
        <w:rPr/>
      </w:r>
    </w:p>
    <w:p>
      <w:pPr>
        <w:pStyle w:val="Heading2"/>
        <w:pageBreakBefore w:val="false"/>
        <w:rPr/>
      </w:pPr>
      <w:r>
        <w:rPr/>
        <w:t>Questions and provenance</w:t>
      </w:r>
    </w:p>
    <w:p>
      <w:pPr>
        <w:pStyle w:val="Normal"/>
        <w:jc w:val="both"/>
        <w:rPr/>
      </w:pPr>
      <w:r>
        <w:rPr/>
        <w:t>The built-in 30-item authored sample is a convenience set, not an established benchmark. The current checkout also documents nested local 5-, 10-, and 20-question starter subsets. They overlap and retain the source items’ metadata; their sizes are usability choices, not prescriptions from Chang et al. These starter sets must not be treated as independent replications or held-out evidence. For imported CSV and JSONL data, validation checks task fields, scorer configuration, and split/family consistency. Saved versions retain canonical content hashes. Uploader-declared review status does not establish independent review or absence of contamination.</w:t>
      </w:r>
    </w:p>
    <w:p>
      <w:pPr>
        <w:pStyle w:val="Normal"/>
        <w:jc w:val="both"/>
        <w:rPr/>
      </w:pPr>
      <w:r>
        <w:rPr/>
        <w:t>The separate instruction-following draft contains five development families and ten draft items. It is not the proposed larger held-out study. The older prototype’s benchmark file is also distinct from the active app’s dataset and results. These boundaries matter because mixing data sources would make a comparison appear more general than it is.</w:t>
      </w:r>
    </w:p>
    <w:p>
      <w:pPr>
        <w:pStyle w:val="Heading2"/>
        <w:pageBreakBefore w:val="false"/>
        <w:rPr/>
      </w:pPr>
      <w:r>
        <w:rPr/>
        <w:t>Provider policy and execution</w:t>
      </w:r>
    </w:p>
    <w:p>
      <w:pPr>
        <w:pStyle w:val="Normal"/>
        <w:jc w:val="both"/>
        <w:rPr/>
      </w:pPr>
      <w:r>
        <w:rPr/>
        <w:t>Credentials remain on the server. The backend checks the exact provider route and requires current explicit zero-price evidence for live free-only generation. Unknown, nonzero, expired, unsupported, or unavailable routes are blocked; no fallback route is silently substituted. A configured key is only a configuration fact, not proof of successful authenticated generation. OpenRouter and OpenCode Console, also called Zen in the project documentation, are distinct routes. The last documented Zen free-price evidence was rechecked on 21 October 2026 and had a local expiry at 00:00 UTC on 22 October; it must be refreshed before a later dispatch. The provider does not publish a guaranteed free quota in the cited local evidence.</w:t>
      </w:r>
    </w:p>
    <w:p>
      <w:pPr>
        <w:pStyle w:val="Normal"/>
        <w:jc w:val="both"/>
        <w:rPr/>
      </w:pPr>
      <w:r>
        <w:rPr/>
        <w:t>The worker creates durable attempt records and has capped retry and pause behavior. A rate limit can pause a run. If a request may have reached a provider but its outcome is unknown, the application requires acknowledgement before retrying because a repeat could consume quota or duplicate work. Resume continues pending work rather than silently recreating the full experiment. These are engineering safeguards designed for a small local, single-user system.</w:t>
      </w:r>
    </w:p>
    <w:p>
      <w:pPr>
        <w:pStyle w:val="Heading2"/>
        <w:pageBreakBefore w:val="false"/>
        <w:rPr/>
      </w:pPr>
      <w:r>
        <w:rPr/>
        <w:t>Scoring and interpretation</w:t>
      </w:r>
    </w:p>
    <w:p>
      <w:pPr>
        <w:pStyle w:val="Normal"/>
        <w:jc w:val="both"/>
        <w:rPr/>
      </w:pPr>
      <w:r>
        <w:rPr/>
        <w:t>Automatic checks depend on each task. Arithmetic uses numeric comparison; multiple choice uses label accuracy; short factual questions use normalized exact match; structured extraction uses JSON, schema, and field checks; instruction following uses declared versioned constraints. Summarization uses ROUGE-L text overlap, which cannot establish factual correctness. The results interface separates task quality from completion, errors, latency, and provider-reported token usage. Missing answers are not marked incorrect, and truncated answers are visible but unscored.</w:t>
      </w:r>
    </w:p>
    <w:p>
      <w:pPr>
        <w:pStyle w:val="Normal"/>
        <w:jc w:val="both"/>
        <w:rPr/>
      </w:pPr>
      <w:r>
        <w:rPr/>
        <w:t>Instruction results distinguish pooled check accuracy, whose denominator is the number of declared checks, from all-check prompt success, whose denominator is eligible responses. The two values can diverge if prompts have different numbers of checks. Completed malformed answers may fail a declared rule; they should not be silently removed. Scorer and normalization versions are recorded so incompatible interpretations are not combined without notice. These local rules are narrower than official IFEval and do not measure general truthfulness or helpfulness [3].</w:t>
      </w:r>
    </w:p>
    <w:p>
      <w:pPr>
        <w:pStyle w:val="Heading2"/>
        <w:pageBreakBefore w:val="false"/>
        <w:rPr/>
      </w:pPr>
      <w:r>
        <w:rPr/>
        <w:t>Paired analysis and human review</w:t>
      </w:r>
    </w:p>
    <w:p>
      <w:pPr>
        <w:pStyle w:val="Normal"/>
        <w:jc w:val="both"/>
        <w:rPr/>
      </w:pPr>
      <w:r>
        <w:rPr/>
        <w:t>For a paired quality difference, the intended independent unit is the question family, not every repeated request. The analysis includes a family only when both model slots have scores for every planned key in that family. Repeats and variants are averaged within the family; complete families are weighted equally. The reported difference is slot 2 minus slot 1. A 95% percentile interval uses 10,000 paired family bootstrap draws and is withheld below ten complete families. Identical observed family differences are flagged as degenerate. The procedure is a local adaptation motivated by design-matched inference [4], and an interval over convenience items cannot repair selective missingness or establish representativeness.</w:t>
      </w:r>
    </w:p>
    <w:p>
      <w:pPr>
        <w:pStyle w:val="Normal"/>
        <w:jc w:val="both"/>
        <w:rPr/>
      </w:pPr>
      <w:r>
        <w:rPr/>
        <w:t>The human-review workflow hides model identities in a reviewer-facing A/B assignment, retains the random mapping privately, and permits A, B, tie, or cannot-judge responses. It reports descriptive overlap, not a validated independent-rater reliability estimate. The optional AI-judge document proposes separate consent, credentials, cost controls, both answer orders, a rubric, and prompt-injection safeguards. It is a design only; no AI judge is implemented. These cautions connect to the bias concerns discussed by Zheng et al. [5].</w:t>
      </w:r>
      <w:r>
        <w:br w:type="page"/>
      </w:r>
    </w:p>
    <w:p>
      <w:pPr>
        <w:pStyle w:val="Heading1"/>
        <w:spacing w:before="0" w:after="140"/>
        <w:rPr/>
      </w:pPr>
      <w:r>
        <w:rPr/>
        <w:t>Results and Discussion</w:t>
      </w:r>
    </w:p>
    <w:p>
      <w:pPr>
        <w:pStyle w:val="Heading2"/>
        <w:pageBreakBefore w:val="false"/>
        <w:rPr/>
      </w:pPr>
      <w:r>
        <w:rPr/>
        <w:t>Implementation evidence</w:t>
      </w:r>
    </w:p>
    <w:p>
      <w:pPr>
        <w:pStyle w:val="Normal"/>
        <w:jc w:val="both"/>
        <w:rPr/>
      </w:pPr>
      <w:r>
        <w:rPr/>
        <w:t>The dated verification record reports passing backend, frontend, and browser checks for the guided workflow. These tests use mocks, temporary databases, and synthetic fixtures. They establish that import, route filtering, execution state, scoring, review, and export paths operated under tested local conditions. They do not measure live model quality. The current working tree includes uncommitted changes, so the exact checkout used for this report should be frozen before claiming an independently reproducible build.</w:t>
      </w:r>
    </w:p>
    <w:p>
      <w:pPr>
        <w:pStyle w:val="Normal"/>
        <w:jc w:val="both"/>
        <w:rPr/>
      </w:pPr>
      <w:r>
        <w:rPr/>
        <w:t>The live interface screenshots show catalog selection and a review page before Start. The displayed routes and request estimate are evidence of selectability and backend readiness checks at the observation time, not evidence that authenticated generation succeeded. The fixture results screenshot is explicitly synthetic. It demonstrates result navigation and export presentation, but its scores and responses must never be quoted as a comparison of real providers.</w:t>
      </w:r>
    </w:p>
    <w:p>
      <w:pPr>
        <w:pStyle w:val="Heading2"/>
        <w:pageBreakBefore w:val="false"/>
        <w:rPr/>
      </w:pPr>
      <w:r>
        <w:rPr/>
        <w:t>Narrow live smoke and what it cannot show</w:t>
      </w:r>
    </w:p>
    <w:p>
      <w:pPr>
        <w:pStyle w:val="Normal"/>
        <w:jc w:val="both"/>
        <w:rPr/>
      </w:pPr>
      <w:r>
        <w:rPr/>
        <w:t>Repository documentation records one earlier completed live smoke with 20 responses: ten original convenience questions sent once to each of two OpenRouter routes. Its denominator is 20 planned route-question responses, not 20 independent questions or a representative benchmark. The source record gives no basis for an overall model winner, and the run is separate from a preserved paused attempt with a 429 and uncertain remote outcome. No new provider request was made while preparing this report.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32"/>
        <w:gridCol w:w="3528"/>
        <w:gridCol w:w="3600"/>
      </w:tblGrid>
      <w:tr>
        <w:trPr>
          <w:tblHeader w:val="true"/>
        </w:trPr>
        <w:tc>
          <w:tcPr>
            <w:tcW w:w="2232"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Evidence</w:t>
            </w:r>
          </w:p>
        </w:tc>
        <w:tc>
          <w:tcPr>
            <w:tcW w:w="3528"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Supported interpretation</w:t>
            </w:r>
          </w:p>
        </w:tc>
        <w:tc>
          <w:tcPr>
            <w:tcW w:w="3600" w:type="dxa"/>
            <w:tcBorders>
              <w:top w:val="single" w:sz="4" w:space="0" w:color="D9D9D9"/>
              <w:start w:val="single" w:sz="4" w:space="0" w:color="D9D9D9"/>
              <w:bottom w:val="single" w:sz="4" w:space="0" w:color="D9D9D9"/>
              <w:end w:val="single" w:sz="4" w:space="0" w:color="D9D9D9"/>
            </w:tcBorders>
            <w:shd w:fill="223A5E" w:val="clear"/>
          </w:tcPr>
          <w:p>
            <w:pPr>
              <w:pStyle w:val="Normal"/>
              <w:widowControl/>
              <w:bidi w:val="0"/>
              <w:spacing w:lineRule="auto" w:line="283" w:before="0" w:after="120"/>
              <w:jc w:val="start"/>
              <w:rPr/>
            </w:pPr>
            <w:r>
              <w:rPr>
                <w:b/>
                <w:color w:val="FFFFFF"/>
                <w:sz w:val="19"/>
              </w:rPr>
              <w:t>Unsupported interpretation</w:t>
            </w:r>
          </w:p>
        </w:tc>
      </w:tr>
      <w:tr>
        <w:trPr/>
        <w:tc>
          <w:tcPr>
            <w:tcW w:w="223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Synthetic browser test</w:t>
            </w:r>
          </w:p>
        </w:tc>
        <w:tc>
          <w:tcPr>
            <w:tcW w:w="3528"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Local workflow and export paths operate with fixtures</w:t>
            </w:r>
          </w:p>
        </w:tc>
        <w:tc>
          <w:tcPr>
            <w:tcW w:w="36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Real model quality or cost</w:t>
            </w:r>
          </w:p>
        </w:tc>
      </w:tr>
      <w:tr>
        <w:trPr/>
        <w:tc>
          <w:tcPr>
            <w:tcW w:w="2232"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Live selection screen</w:t>
            </w:r>
          </w:p>
        </w:tc>
        <w:tc>
          <w:tcPr>
            <w:tcW w:w="3528"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Routes passed dated catalog and policy checks</w:t>
            </w:r>
          </w:p>
        </w:tc>
        <w:tc>
          <w:tcPr>
            <w:tcW w:w="3600"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Successful authenticated generation</w:t>
            </w:r>
          </w:p>
        </w:tc>
      </w:tr>
      <w:tr>
        <w:trPr/>
        <w:tc>
          <w:tcPr>
            <w:tcW w:w="223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20 of 20 live responses</w:t>
            </w:r>
          </w:p>
        </w:tc>
        <w:tc>
          <w:tcPr>
            <w:tcW w:w="3528"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That narrow convenience smoke completed</w:t>
            </w:r>
          </w:p>
        </w:tc>
        <w:tc>
          <w:tcPr>
            <w:tcW w:w="3600"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0"/>
              <w:rPr/>
            </w:pPr>
            <w:r>
              <w:rPr>
                <w:sz w:val="18"/>
              </w:rPr>
              <w:t>Population-level ranking or benchmark score</w:t>
            </w:r>
          </w:p>
        </w:tc>
      </w:tr>
      <w:tr>
        <w:trPr/>
        <w:tc>
          <w:tcPr>
            <w:tcW w:w="2232"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Paired bootstrap design</w:t>
            </w:r>
          </w:p>
        </w:tc>
        <w:tc>
          <w:tcPr>
            <w:tcW w:w="3528"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Conditional uncertainty on complete families</w:t>
            </w:r>
          </w:p>
        </w:tc>
        <w:tc>
          <w:tcPr>
            <w:tcW w:w="3600" w:type="dxa"/>
            <w:tcBorders>
              <w:top w:val="single" w:sz="4" w:space="0" w:color="D9D9D9"/>
              <w:start w:val="single" w:sz="4" w:space="0" w:color="D9D9D9"/>
              <w:bottom w:val="single" w:sz="4" w:space="0" w:color="D9D9D9"/>
              <w:end w:val="single" w:sz="4" w:space="0" w:color="D9D9D9"/>
            </w:tcBorders>
            <w:shd w:fill="F4F7FB" w:val="clear"/>
            <w:vAlign w:val="center"/>
          </w:tcPr>
          <w:p>
            <w:pPr>
              <w:pStyle w:val="Normal"/>
              <w:spacing w:before="0" w:after="0"/>
              <w:rPr/>
            </w:pPr>
            <w:r>
              <w:rPr>
                <w:sz w:val="18"/>
              </w:rPr>
              <w:t>Correction for convenience sampling or missingness</w:t>
            </w:r>
          </w:p>
        </w:tc>
      </w:tr>
    </w:tbl>
    <w:p>
      <w:pPr>
        <w:pStyle w:val="Normal"/>
        <w:rPr/>
      </w:pPr>
      <w:r>
        <w:rPr/>
      </w:r>
    </w:p>
    <w:p>
      <w:pPr>
        <w:pStyle w:val="Normal"/>
        <w:jc w:val="both"/>
        <w:rPr/>
      </w:pPr>
      <w:r>
        <w:rPr/>
        <w:t>The project’s contribution is therefore methodological and operational: it ties observations to their task, source data, route, attempt history, scorer rule, denominator, and saved analysis. The evidence does not establish fairness, calibration, agent ability, multimodal performance, or performance on official HELM, IFEval, MT-Bench, or Chatbot Arena datasets.</w:t>
      </w:r>
      <w:r>
        <w:br w:type="page"/>
      </w:r>
    </w:p>
    <w:p>
      <w:pPr>
        <w:pStyle w:val="Heading1"/>
        <w:spacing w:before="0" w:after="140"/>
        <w:rPr/>
      </w:pPr>
      <w:r>
        <w:rPr/>
        <w:t>Conclusion</w:t>
      </w:r>
    </w:p>
    <w:p>
      <w:pPr>
        <w:pStyle w:val="Normal"/>
        <w:jc w:val="both"/>
        <w:rPr/>
      </w:pPr>
      <w:r>
        <w:rPr/>
        <w:t>Chang et al.’s survey provides a useful structure for asking what was tested, where the examples came from, and how each response was assessed [1]. The LLM Comparison Lab makes a bounded version of those questions inspectable in a local two-route workflow. It validates question metadata, freezes a comparison design, keeps durable attempt records, applies task-specific checks, offers human A/B review, and exports the resulting evidence. The application does not implement the survey in full or establish a general winner between models.</w:t>
      </w:r>
    </w:p>
    <w:p>
      <w:pPr>
        <w:pStyle w:val="Normal"/>
        <w:jc w:val="both"/>
        <w:rPr/>
      </w:pPr>
      <w:r>
        <w:rPr/>
        <w:t>A trustworthy interpretation remains conditional. The built-in and starter datasets are small authored convenience samples; provider behavior and prices change; automatic scores measure declared properties only; and local review labels do not establish independent raters. The project is best understood as a platform for a more carefully designed study and as an example of how evaluation claims can be bounded by their actual evidence.</w:t>
      </w:r>
    </w:p>
    <w:p>
      <w:pPr>
        <w:pStyle w:val="Heading1"/>
        <w:pageBreakBefore w:val="false"/>
        <w:rPr/>
      </w:pPr>
      <w:r>
        <w:rPr/>
        <w:t>Future Work</w:t>
      </w:r>
    </w:p>
    <w:p>
      <w:pPr>
        <w:pStyle w:val="Normal"/>
        <w:jc w:val="both"/>
        <w:rPr/>
      </w:pPr>
      <w:r>
        <w:rPr/>
        <w:t>A stronger study would precommit its question-selection and analysis plan, expand to a larger held-out set with independently checked family and reference metadata, and run repeated balanced comparisons under current provider authorization. Human reviewers should be recruited and assigned so their independence and blinding can be assessed. Failed and missing responses should remain part of the report rather than be filtered away.</w:t>
      </w:r>
    </w:p>
    <w:p>
      <w:pPr>
        <w:pStyle w:val="Normal"/>
        <w:jc w:val="both"/>
        <w:rPr/>
      </w:pPr>
      <w:r>
        <w:rPr/>
        <w:t>Further work could test scorer reliability against expert judgments, review provider and route effects, and evaluate whether paraphrase families truly preserve meaning. An optional AI judge should remain a separate experiment with explicit data-sharing consent, both answer orders, cost limits, and calibration against human-reviewed examples. Fairness, safety, calibration, agent behavior, and multimodal tasks require their own suitable data and methods; they should not be claimed by extending the current small convenience sample.</w:t>
      </w:r>
      <w:r>
        <w:br w:type="page"/>
      </w:r>
    </w:p>
    <w:p>
      <w:pPr>
        <w:pStyle w:val="Heading1"/>
        <w:spacing w:before="0" w:after="140"/>
        <w:rPr/>
      </w:pPr>
      <w:r>
        <w:rPr/>
        <w:t>References</w:t>
      </w:r>
    </w:p>
    <w:p>
      <w:pPr>
        <w:pStyle w:val="Normal"/>
        <w:jc w:val="start"/>
        <w:rPr/>
      </w:pPr>
      <w:r>
        <w:rPr/>
        <w:t>[1] Y. Chang et al., “A Survey on Evaluation of Large Language Models,” ACM Transactions on Intelligent Systems and Technology, vol. 15, no. 3, Article 39, 2024. https://doi.org/10.1145/3641289</w:t>
      </w:r>
    </w:p>
    <w:p>
      <w:pPr>
        <w:pStyle w:val="Normal"/>
        <w:jc w:val="start"/>
        <w:rPr/>
      </w:pPr>
      <w:r>
        <w:rPr/>
        <w:t>[2] P. Liang et al., “Holistic Evaluation of Language Models,” Transactions on Machine Learning Research, 2023; arXiv:2211.09110v2. https://arxiv.org/abs/2211.09110v2</w:t>
      </w:r>
    </w:p>
    <w:p>
      <w:pPr>
        <w:pStyle w:val="Normal"/>
        <w:jc w:val="start"/>
        <w:rPr/>
      </w:pPr>
      <w:r>
        <w:rPr/>
        <w:t>[3] J. Zhou, T. Lu, S. Mishra, S. Brahma, S. Basu, Y. Luan, D. Zhou, and L. Hou, “Instruction-Following Evaluation for Large Language Models,” arXiv:2311.07911v1, 2023. https://arxiv.org/abs/2311.07911v1</w:t>
      </w:r>
    </w:p>
    <w:p>
      <w:pPr>
        <w:pStyle w:val="Normal"/>
        <w:jc w:val="start"/>
        <w:rPr/>
      </w:pPr>
      <w:r>
        <w:rPr/>
        <w:t>[4] R. Dror, G. Baumer, S. Shlomov, and R. Reichart, “The Hitchhiker’s Guide to Testing Statistical Significance in Natural Language Processing,” Proceedings of ACL, 2018. https://doi.org/10.18653/v1/P18-1128</w:t>
      </w:r>
    </w:p>
    <w:p>
      <w:pPr>
        <w:pStyle w:val="Normal"/>
        <w:jc w:val="start"/>
        <w:rPr/>
      </w:pPr>
      <w:r>
        <w:rPr/>
        <w:t>[5] L. Zheng et al., “Judging LLM-as-a-Judge with MT-Bench and Chatbot Arena,” NeurIPS Datasets and Benchmarks, 2023; arXiv:2306.05685v4. https://arxiv.org/abs/2306.05685v4</w:t>
      </w:r>
    </w:p>
    <w:p>
      <w:pPr>
        <w:pStyle w:val="Heading2"/>
        <w:pageBreakBefore w:val="false"/>
        <w:rPr/>
      </w:pPr>
      <w:r>
        <w:rPr/>
        <w:t>Additional contextual reading</w:t>
      </w:r>
    </w:p>
    <w:p>
      <w:pPr>
        <w:pStyle w:val="Normal"/>
        <w:jc w:val="start"/>
        <w:rPr/>
      </w:pPr>
      <w:r>
        <w:rPr/>
        <w:t>[6] Y. Cao et al., “Toward Generalizable Evaluation in the LLM Era: A Survey Beyond Benchmarks,” arXiv:2504.18838, 2025. https://arxiv.org/abs/2504.18838</w:t>
      </w:r>
    </w:p>
    <w:p>
      <w:pPr>
        <w:pStyle w:val="Normal"/>
        <w:jc w:val="start"/>
        <w:rPr/>
      </w:pPr>
      <w:r>
        <w:rPr/>
        <w:t>[7] M. Mohammadi, Y. Li, J. Lo, and W. Yip, “Evaluation and Benchmarking of LLM Agents: A Survey,” arXiv:2507.21504, 2025. https://arxiv.org/abs/2507.21504</w:t>
      </w:r>
    </w:p>
    <w:p>
      <w:pPr>
        <w:pStyle w:val="Normal"/>
        <w:jc w:val="start"/>
        <w:rPr/>
      </w:pPr>
      <w:r>
        <w:rPr/>
        <w:t>[8] S. Ni et al., “A Survey on Large Language Model Benchmarks,” arXiv:2508.15361, 2025. https://arxiv.org/abs/2508.15361</w:t>
      </w:r>
    </w:p>
    <w:p>
      <w:pPr>
        <w:pStyle w:val="Normal"/>
        <w:jc w:val="both"/>
        <w:rPr/>
      </w:pPr>
      <w:r>
        <w:rPr/>
        <w:t>The three 2025 surveys provide background context only. The Lab does not evaluate agents or run the benchmark suites they describe.</w:t>
      </w:r>
      <w:r>
        <w:br w:type="page"/>
      </w:r>
    </w:p>
    <w:p>
      <w:pPr>
        <w:pStyle w:val="Heading1"/>
        <w:spacing w:before="0" w:after="140"/>
        <w:rPr/>
      </w:pPr>
      <w:r>
        <w:rPr/>
        <w:t>GitHub Repository and Reproducibility Details</w:t>
      </w:r>
    </w:p>
    <w:p>
      <w:pPr>
        <w:pStyle w:val="Normal"/>
        <w:jc w:val="start"/>
        <w:rPr/>
      </w:pPr>
      <w:r>
        <w:rPr/>
        <w:t>The repository remote is https://github.com/Fadhil006/evaluating-llms.git. The inspected local branch on 22 October 2026 was better, with recent commit 5b55a4f. The working tree also contained uncommitted changes to dataset, provider, frontend, and documentation files; a reader cannot reproduce that exact state from the commit alone. Before submission, create a clean commit or archive a reviewed snapshot and identify its hash in this section.</w:t>
      </w:r>
    </w:p>
    <w:p>
      <w:pPr>
        <w:pStyle w:val="Normal"/>
        <w:jc w:val="start"/>
        <w:rPr/>
      </w:pPr>
      <w:r>
        <w:rPr/>
        <w:t>The active app is in frontend/ and backend/. The top-level app.py and evaluation/ package are the preserved older prototype. The primary survey text is a read-only synced source at sources/ai_project.md. For the current app, README.md describes setup; docs/METHODOLOGY.md defines scorer and analysis interpretation; docs/PROVIDER_CONFIGURATION.md explains route and price policy; docs/VERIFICATION.md records dated local checks. Dynamic provider price or catalog facts should be rechecked before any later live run.</w:t>
      </w:r>
    </w:p>
    <w:p>
      <w:pPr>
        <w:pStyle w:val="Normal"/>
        <w:jc w:val="both"/>
        <w:rPr/>
      </w:pPr>
      <w:r>
        <w:rPr/>
        <w:t>A reproduction should record the exact repository revision, dataset version and content hash, selected item IDs, provider and route IDs, shared instruction, model settings, repetitions, local sampling seed, attempt cap, scorer versions, planned and eligible denominators, failures, and observation date. API credentials and private answers must remain outside the report and repository. The local demo mode uses synthetic fixtures without provider generation and can verify the workflow; it must be labeled synthetic. A live run needs separately authorized routes, current pricing evidence, request limits, and a preserved attempt log.</w:t>
      </w:r>
    </w:p>
    <w:p>
      <w:pPr>
        <w:pStyle w:val="Normal"/>
        <w:spacing w:before="0" w:after="120"/>
        <w:jc w:val="both"/>
        <w:rPr/>
      </w:pPr>
      <w:r>
        <w:rPr/>
        <w:t>The backend test suite and frontend typecheck, build, and browser tests described in README.md can check implementation behavior. Their fixture and mock results do not establish model performance. Exported reports should distinguish observed live answers from fixtures and include any saved analysis snapshot separately from the evolving current-results dashboard.</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83" w:before="0" w:after="120"/>
      <w:jc w:val="start"/>
    </w:pPr>
    <w:rPr>
      <w:rFonts w:ascii="Times New Roman" w:hAnsi="Times New Roman" w:eastAsia="Calibri" w:cs=""/>
      <w:color w:val="000000"/>
      <w:kern w:val="0"/>
      <w:sz w:val="23"/>
      <w:szCs w:val="22"/>
      <w:lang w:val="en-US" w:eastAsia="en-US" w:bidi="ar-SA"/>
    </w:rPr>
  </w:style>
  <w:style w:type="paragraph" w:styleId="Heading1" w:customStyle="1">
    <w:name w:val="heading 1"/>
    <w:pPr>
      <w:keepNext w:val="true"/>
      <w:widowControl/>
      <w:suppressAutoHyphens w:val="true"/>
      <w:bidi w:val="0"/>
      <w:spacing w:lineRule="auto" w:line="259" w:before="280" w:after="140"/>
      <w:jc w:val="start"/>
    </w:pPr>
    <w:rPr>
      <w:rFonts w:ascii="Times New Roman" w:hAnsi="Times New Roman" w:eastAsia="Calibri" w:cs=""/>
      <w:b/>
      <w:color w:val="000000"/>
      <w:kern w:val="0"/>
      <w:sz w:val="30"/>
      <w:szCs w:val="22"/>
      <w:lang w:val="en-US" w:eastAsia="en-US" w:bidi="ar-SA"/>
    </w:rPr>
  </w:style>
  <w:style w:type="paragraph" w:styleId="Heading2" w:customStyle="1">
    <w:name w:val="heading 2"/>
    <w:pPr>
      <w:keepNext w:val="true"/>
      <w:widowControl/>
      <w:suppressAutoHyphens w:val="true"/>
      <w:bidi w:val="0"/>
      <w:spacing w:lineRule="auto" w:line="259" w:before="200" w:after="80"/>
      <w:jc w:val="start"/>
    </w:pPr>
    <w:rPr>
      <w:rFonts w:ascii="Times New Roman" w:hAnsi="Times New Roman" w:eastAsia="Calibri" w:cs=""/>
      <w:b/>
      <w:color w:val="000000"/>
      <w:kern w:val="0"/>
      <w:sz w:val="25"/>
      <w:szCs w:val="22"/>
      <w:lang w:val="en-US" w:eastAsia="en-US" w:bidi="ar-SA"/>
    </w:rPr>
  </w:style>
  <w:style w:type="character" w:styleId="DefaultParagraphFont" w:default="1">
    <w:name w:val="Default Paragraph Font"/>
    <w:uiPriority w:val="1"/>
    <w:unhideWhenUsed/>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Title" w:customStyle="1">
    <w:name w:val="Title"/>
    <w:pPr>
      <w:keepNext w:val="true"/>
      <w:widowControl/>
      <w:suppressAutoHyphens w:val="true"/>
      <w:bidi w:val="0"/>
      <w:spacing w:lineRule="auto" w:line="259" w:before="0" w:after="240"/>
      <w:jc w:val="start"/>
    </w:pPr>
    <w:rPr>
      <w:rFonts w:ascii="Times New Roman" w:hAnsi="Times New Roman" w:eastAsia="Calibri" w:cs=""/>
      <w:b/>
      <w:color w:val="000000"/>
      <w:kern w:val="0"/>
      <w:sz w:val="36"/>
      <w:szCs w:val="22"/>
      <w:lang w:val="en-US" w:eastAsia="en-US" w:bidi="ar-SA"/>
    </w:rPr>
  </w:style>
  <w:style w:type="paragraph" w:styleId="HeaderandFooter">
    <w:name w:val="Header and Footer"/>
    <w:basedOn w:val="Normal"/>
    <w:pPr/>
    <w:rPr/>
  </w:style>
  <w:style w:type="paragraph" w:styleId="Footer">
    <w:name w:val="footer"/>
    <w:basedOn w:val="HeaderandFooter"/>
    <w:pPr/>
    <w:rPr/>
  </w:style>
  <w:style w:type="paragraph" w:styleId="Header">
    <w:name w:val="header"/>
    <w:basedOn w:val="HeaderandFooter"/>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LibreOffice/26.8.0.3$Linux_X86_64 LibreOffice_project/680$Build-3</Application>
  <AppVersion>15.0000</AppVersion>
  <Pages>2</Pages>
  <Words>121</Words>
  <Characters>693</Characters>
  <CharactersWithSpaces>813</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2026-10-07T15:15:00Z</dcterms:created>
  <dc:creator>Nalesh S</dc:creator>
  <dc:description/>
  <dc:language>en-US</dc:language>
  <cp:lastModifiedBy/>
  <dcterms:modified xsi:type="dcterms:W3CDTF">2026-10-22T16:08:28Z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998f1931-2f56-4c67-99bd-29101b004a0f</vt:lpwstr>
  </property>
</Properties>
</file>