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 Fuzzy TOPSIS Framework for Prioritising Pedestrian Crossing Safety and Accessibility Improvements</w:t>
      </w:r>
    </w:p>
    <w:p>
      <w:r>
        <w:t>Team [Team number] • [Team member names]</w:t>
      </w:r>
    </w:p>
    <w:p>
      <w:r>
        <w:t>Department of [Department], IIIT Kottayam, India • [Institutional email addresses]</w:t>
      </w:r>
    </w:p>
    <w:p>
      <w:pPr>
        <w:pStyle w:val="Heading1"/>
      </w:pPr>
      <w:r>
        <w:t>Abstract</w:t>
      </w:r>
    </w:p>
    <w:p>
      <w:r>
        <w:t>This report asks whether adding essential-destination access (E1) changes the leading group beyond a four-criterion baseline. In the 28-candidate simulation, the five-criterion model gives a tied top score of 0.6839; the top-three overlap with the four-criterion model is 0.667, and 1,000 bounded weight draws have mean top-three overlap 1.000. The pedestrian-demand/E1 central-score Spearman correlation is 0.80, indicating substantial constructed-proxy overlap. These are synthetic calculations informed by public map geometry—not measured conditions, verified crossings, or an empirical safety ranking. The older four-row example remains a separate teaching illustration.</w:t>
      </w:r>
    </w:p>
    <w:p>
      <w:r>
        <w:t>Keywords: pedestrian crossings; accessibility; fuzzy TOPSIS; synthetic data; sensitivity analysis</w:t>
      </w:r>
    </w:p>
    <w:p>
      <w:pPr>
        <w:pStyle w:val="Heading1"/>
      </w:pPr>
      <w:r>
        <w:t>I Introduction</w:t>
      </w:r>
    </w:p>
    <w:p>
      <w:r>
        <w:t>A transparent multi-criteria ranking can organise review when demand, road context, accessibility and control evidence are incomplete, but its meaning depends on its inputs and candidate set. This project ranks hypothetical improvement packages for earlier review—not danger, crash prevention, or a budget-optimal portfolio. Its contribution is a reproducible context-informed synthetic dataset: unlike independently random alternatives, candidate selection follows saved road geometry and shared-node junction topology, while road hierarchy and mapped destinations inform explicit proxy formulas. This creates traceable intermediate evidence and assumptions, not stronger empirical observations; modeled deficiencies remain prior-based and every score remains synthetic. Feasibility is an external engineering and jurisdictional gate.</w:t>
      </w:r>
    </w:p>
    <w:p>
      <w:pPr>
        <w:pStyle w:val="Heading1"/>
      </w:pPr>
      <w:r>
        <w:t>II Related Work</w:t>
      </w:r>
    </w:p>
    <w:p>
      <w:r>
        <w:t>Structured crossing checklists [1], pedestrian-facility prioritisation [2], and fuzzy gap-acceptance analysis [3] motivate documented evidence and decision support, but their settings and outcomes do not validate these inputs. Chen [4] informs the TOPSIS lineage; fuzzy conversion research [5] motivates explicit sensitivity. Kerala’s road-safety vision [6] and a midblock study from four other Indian cities [7] provide context only. OSM [8] supplies the mapped layer; Kerala district charts [9] are not score inputs. The declared calculations below are project adaptations, not an unchanged reproduction of an earlier formulation.</w:t>
      </w:r>
    </w:p>
    <w:tbl>
      <w:tblPr>
        <w:tblStyle w:val="LightShading-Accent1"/>
        <w:tblW w:type="auto" w:w="0"/>
        <w:tblLook w:firstColumn="1" w:firstRow="1" w:lastColumn="0" w:lastRow="0" w:noHBand="0" w:noVBand="1" w:val="04A0"/>
      </w:tblPr>
      <w:tblGrid>
        <w:gridCol w:w="3250"/>
        <w:gridCol w:w="3250"/>
        <w:gridCol w:w="3250"/>
      </w:tblGrid>
      <w:tr>
        <w:trPr>
          <w:tblHeader/>
        </w:trPr>
        <w:tc>
          <w:tcPr>
            <w:tcW w:type="dxa" w:w="3250"/>
          </w:tcPr>
          <w:p>
            <w:pPr>
              <w:spacing w:after="40"/>
            </w:pPr>
            <w:r>
              <w:rPr>
                <w:sz w:val="18"/>
              </w:rPr>
              <w:t>Study</w:t>
            </w:r>
          </w:p>
        </w:tc>
        <w:tc>
          <w:tcPr>
            <w:tcW w:type="dxa" w:w="3250"/>
          </w:tcPr>
          <w:p>
            <w:pPr>
              <w:spacing w:after="40"/>
            </w:pPr>
            <w:r>
              <w:rPr>
                <w:sz w:val="18"/>
              </w:rPr>
              <w:t>Data and approach</w:t>
            </w:r>
          </w:p>
        </w:tc>
        <w:tc>
          <w:tcPr>
            <w:tcW w:type="dxa" w:w="3250"/>
          </w:tcPr>
          <w:p>
            <w:pPr>
              <w:spacing w:after="40"/>
            </w:pPr>
            <w:r>
              <w:rPr>
                <w:sz w:val="18"/>
              </w:rPr>
              <w:t>Relevance and transfer limit</w:t>
            </w:r>
          </w:p>
        </w:tc>
      </w:tr>
      <w:tr>
        <w:tc>
          <w:tcPr>
            <w:tcW w:type="dxa" w:w="3250"/>
          </w:tcPr>
          <w:p>
            <w:pPr>
              <w:spacing w:after="40"/>
            </w:pPr>
            <w:r>
              <w:rPr>
                <w:sz w:val="18"/>
              </w:rPr>
              <w:t>Battistini et al. [1]</w:t>
            </w:r>
          </w:p>
        </w:tc>
        <w:tc>
          <w:tcPr>
            <w:tcW w:type="dxa" w:w="3250"/>
          </w:tcPr>
          <w:p>
            <w:pPr>
              <w:spacing w:after="40"/>
            </w:pPr>
            <w:r>
              <w:rPr>
                <w:sz w:val="18"/>
              </w:rPr>
              <w:t>Checklists at ten unsignalized crossings on two Bologna roads; decision support for intervention priorities.</w:t>
            </w:r>
          </w:p>
        </w:tc>
        <w:tc>
          <w:tcPr>
            <w:tcW w:type="dxa" w:w="3250"/>
          </w:tcPr>
          <w:p>
            <w:pPr>
              <w:spacing w:after="40"/>
            </w:pPr>
            <w:r>
              <w:rPr>
                <w:sz w:val="18"/>
              </w:rPr>
              <w:t>Supports structured inspection; Italian site ratings are not local observations or Indian compliance thresholds.</w:t>
            </w:r>
          </w:p>
        </w:tc>
      </w:tr>
      <w:tr>
        <w:tc>
          <w:tcPr>
            <w:tcW w:type="dxa" w:w="3250"/>
          </w:tcPr>
          <w:p>
            <w:pPr>
              <w:spacing w:after="40"/>
            </w:pPr>
            <w:r>
              <w:rPr>
                <w:sz w:val="18"/>
              </w:rPr>
              <w:t>Majumdar et al. [2]</w:t>
            </w:r>
          </w:p>
        </w:tc>
        <w:tc>
          <w:tcPr>
            <w:tcW w:type="dxa" w:w="3250"/>
          </w:tcPr>
          <w:p>
            <w:pPr>
              <w:spacing w:after="40"/>
            </w:pPr>
            <w:r>
              <w:rPr>
                <w:sz w:val="18"/>
              </w:rPr>
              <w:t>Pedestrian satisfaction and TOPSIS prioritisation of sidewalk/crosswalk attributes in an Indian context.</w:t>
            </w:r>
          </w:p>
        </w:tc>
        <w:tc>
          <w:tcPr>
            <w:tcW w:type="dxa" w:w="3250"/>
          </w:tcPr>
          <w:p>
            <w:pPr>
              <w:spacing w:after="40"/>
            </w:pPr>
            <w:r>
              <w:rPr>
                <w:sz w:val="18"/>
              </w:rPr>
              <w:t>Supports pedestrian-focused criteria; ranking infrastructure attributes differs from ranking crossing packages.</w:t>
            </w:r>
          </w:p>
        </w:tc>
      </w:tr>
      <w:tr>
        <w:tc>
          <w:tcPr>
            <w:tcW w:type="dxa" w:w="3250"/>
          </w:tcPr>
          <w:p>
            <w:pPr>
              <w:spacing w:after="40"/>
            </w:pPr>
            <w:r>
              <w:rPr>
                <w:sz w:val="18"/>
              </w:rPr>
              <w:t>Alver and Katanalp [3]</w:t>
            </w:r>
          </w:p>
        </w:tc>
        <w:tc>
          <w:tcPr>
            <w:tcW w:type="dxa" w:w="3250"/>
          </w:tcPr>
          <w:p>
            <w:pPr>
              <w:spacing w:after="40"/>
            </w:pPr>
            <w:r>
              <w:rPr>
                <w:sz w:val="18"/>
              </w:rPr>
              <w:t>Integrated AHP and fuzzy logic for gap acceptance at semicontrolled midblock crossings.</w:t>
            </w:r>
          </w:p>
        </w:tc>
        <w:tc>
          <w:tcPr>
            <w:tcW w:type="dxa" w:w="3250"/>
          </w:tcPr>
          <w:p>
            <w:pPr>
              <w:spacing w:after="40"/>
            </w:pPr>
            <w:r>
              <w:rPr>
                <w:sz w:val="18"/>
              </w:rPr>
              <w:t>Illustrates fuzzy transport modelling; behavioral analysis does not validate our synthetic deficiency scale.</w:t>
            </w:r>
          </w:p>
        </w:tc>
      </w:tr>
    </w:tbl>
    <w:p>
      <w:r>
        <w:br w:type="page"/>
      </w:r>
    </w:p>
    <w:p>
      <w:pPr>
        <w:pStyle w:val="Heading1"/>
      </w:pPr>
      <w:r>
        <w:t>III Study Scope and Data</w:t>
      </w:r>
    </w:p>
    <w:p>
      <w:r>
        <w:t>The generator reads the saved data/raw/osm_context.json extract and data/raw/osm_metadata.json metadata. The extract contains 431 elements (286 accepted motor-road ways; 91 deduplicated destinations). From the mapped center (9.7554364° N, 76.6495350° E), a deterministic 3 km search, ≥80 m spacing, and map-evidence priority selected 28 coordinates: 27 road-junction candidates and one explicitly mapped crossing. All are unverified. Shared-node junctions are candidate locations, not proof of crossings; road ownership, field conditions, and map completeness are unknown.</w:t>
      </w:r>
    </w:p>
    <w:p>
      <w:r>
        <w:t>Evidence chain: saved map geometry/tags and destination objects are mapped facts; formulas derive context indicators; deterministic seeded rules produce synthetic ordinal centers and ranges. Example SYN-OSM-716872373 is near mapped St Mary’s Church (60 m), Alphonsa English Medium School Valavoor (83 m), Valavoor School (277 m), and a post office (286 m), all straight-line distances. Proximity does not show a walking route or access need. All centers are integer scores 1–5. Fuzzy widths are ±1.0 for low-confidence proxies and ±1.5 for very-low/unknown assumptions, clipped to scale bounds; these are not confidence intervals.</w:t>
      </w:r>
    </w:p>
    <w:tbl>
      <w:tblPr>
        <w:tblStyle w:val="LightShading-Accent1"/>
        <w:tblW w:type="auto" w:w="0"/>
        <w:tblLook w:firstColumn="1" w:firstRow="1" w:lastColumn="0" w:lastRow="0" w:noHBand="0" w:noVBand="1" w:val="04A0"/>
      </w:tblPr>
      <w:tblGrid>
        <w:gridCol w:w="3250"/>
        <w:gridCol w:w="3250"/>
        <w:gridCol w:w="3250"/>
      </w:tblGrid>
      <w:tr>
        <w:trPr>
          <w:tblHeader/>
        </w:trPr>
        <w:tc>
          <w:tcPr>
            <w:tcW w:type="dxa" w:w="3250"/>
          </w:tcPr>
          <w:p>
            <w:pPr>
              <w:spacing w:after="40"/>
            </w:pPr>
            <w:r>
              <w:rPr>
                <w:sz w:val="16"/>
              </w:rPr>
              <w:t>Criterion</w:t>
            </w:r>
          </w:p>
        </w:tc>
        <w:tc>
          <w:tcPr>
            <w:tcW w:type="dxa" w:w="3250"/>
          </w:tcPr>
          <w:p>
            <w:pPr>
              <w:spacing w:after="40"/>
            </w:pPr>
            <w:r>
              <w:rPr>
                <w:sz w:val="16"/>
              </w:rPr>
              <w:t>Map/context input and generation rule</w:t>
            </w:r>
          </w:p>
        </w:tc>
        <w:tc>
          <w:tcPr>
            <w:tcW w:type="dxa" w:w="3250"/>
          </w:tcPr>
          <w:p>
            <w:pPr>
              <w:spacing w:after="40"/>
            </w:pPr>
            <w:r>
              <w:rPr>
                <w:sz w:val="16"/>
              </w:rPr>
              <w:t>Interpretation</w:t>
            </w:r>
          </w:p>
        </w:tc>
      </w:tr>
      <w:tr>
        <w:tc>
          <w:tcPr>
            <w:tcW w:type="dxa" w:w="3250"/>
          </w:tcPr>
          <w:p>
            <w:pPr>
              <w:spacing w:after="40"/>
            </w:pPr>
            <w:r>
              <w:rPr>
                <w:sz w:val="16"/>
              </w:rPr>
              <w:t>P1 Demand</w:t>
            </w:r>
          </w:p>
        </w:tc>
        <w:tc>
          <w:tcPr>
            <w:tcW w:type="dxa" w:w="3250"/>
          </w:tcPr>
          <w:p>
            <w:pPr>
              <w:spacing w:after="40"/>
            </w:pPr>
            <w:r>
              <w:rPr>
                <w:sz w:val="16"/>
              </w:rPr>
              <w:t>Nearby mapped amenity intensity I, bus stop B, vehicle score; round_clip(1+1.05 ln(1+I)+0.35B+0.12(vehicle−2)+U(−0.65,0.65)).</w:t>
            </w:r>
          </w:p>
        </w:tc>
        <w:tc>
          <w:tcPr>
            <w:tcW w:type="dxa" w:w="3250"/>
          </w:tcPr>
          <w:p>
            <w:pPr>
              <w:spacing w:after="40"/>
            </w:pPr>
            <w:r>
              <w:rPr>
                <w:sz w:val="16"/>
              </w:rPr>
              <w:t>Constructed demand proxy; no counts.</w:t>
            </w:r>
          </w:p>
        </w:tc>
      </w:tr>
      <w:tr>
        <w:tc>
          <w:tcPr>
            <w:tcW w:type="dxa" w:w="3250"/>
          </w:tcPr>
          <w:p>
            <w:pPr>
              <w:spacing w:after="40"/>
            </w:pPr>
            <w:r>
              <w:rPr>
                <w:sz w:val="16"/>
              </w:rPr>
              <w:t>P2 Vehicle</w:t>
            </w:r>
          </w:p>
        </w:tc>
        <w:tc>
          <w:tcPr>
            <w:tcW w:type="dxa" w:w="3250"/>
          </w:tcPr>
          <w:p>
            <w:pPr>
              <w:spacing w:after="40"/>
            </w:pPr>
            <w:r>
              <w:rPr>
                <w:sz w:val="16"/>
              </w:rPr>
              <w:t>Highest adjacent road class (motorway/trunk/primary 5; secondary 4; tertiary 3; residential/unclassified 2; service/living street 1); +0.5 for each satisfied condition: ≥3 mapped lanes, numeric maxspeed ≥60 km/h; U(−0.35,0.35).</w:t>
            </w:r>
          </w:p>
        </w:tc>
        <w:tc>
          <w:tcPr>
            <w:tcW w:type="dxa" w:w="3250"/>
          </w:tcPr>
          <w:p>
            <w:pPr>
              <w:spacing w:after="40"/>
            </w:pPr>
            <w:r>
              <w:rPr>
                <w:sz w:val="16"/>
              </w:rPr>
              <w:t>Road context, not volume or operating speed.</w:t>
            </w:r>
          </w:p>
        </w:tc>
      </w:tr>
      <w:tr>
        <w:tc>
          <w:tcPr>
            <w:tcW w:type="dxa" w:w="3250"/>
          </w:tcPr>
          <w:p>
            <w:pPr>
              <w:spacing w:after="40"/>
            </w:pPr>
            <w:r>
              <w:rPr>
                <w:sz w:val="16"/>
              </w:rPr>
              <w:t>P3 Access</w:t>
            </w:r>
          </w:p>
        </w:tc>
        <w:tc>
          <w:tcPr>
            <w:tcW w:type="dxa" w:w="3250"/>
          </w:tcPr>
          <w:p>
            <w:pPr>
              <w:spacing w:after="40"/>
            </w:pPr>
            <w:r>
              <w:rPr>
                <w:sz w:val="16"/>
              </w:rPr>
              <w:t>Prior 3 + shared U(−0.45,0.45) + N(0,0.85); mapped wheelchair, kerb/sloped curb and tactile tags adjust it.</w:t>
            </w:r>
          </w:p>
        </w:tc>
        <w:tc>
          <w:tcPr>
            <w:tcW w:type="dxa" w:w="3250"/>
          </w:tcPr>
          <w:p>
            <w:pPr>
              <w:spacing w:after="40"/>
            </w:pPr>
            <w:r>
              <w:rPr>
                <w:sz w:val="16"/>
              </w:rPr>
              <w:t>Unknown tags stay unknown; deficiency mostly assumed.</w:t>
            </w:r>
          </w:p>
        </w:tc>
      </w:tr>
      <w:tr>
        <w:tc>
          <w:tcPr>
            <w:tcW w:type="dxa" w:w="3250"/>
          </w:tcPr>
          <w:p>
            <w:pPr>
              <w:spacing w:after="40"/>
            </w:pPr>
            <w:r>
              <w:rPr>
                <w:sz w:val="16"/>
              </w:rPr>
              <w:t>P4 Control</w:t>
            </w:r>
          </w:p>
        </w:tc>
        <w:tc>
          <w:tcPr>
            <w:tcW w:type="dxa" w:w="3250"/>
          </w:tcPr>
          <w:p>
            <w:pPr>
              <w:spacing w:after="40"/>
            </w:pPr>
            <w:r>
              <w:rPr>
                <w:sz w:val="16"/>
              </w:rPr>
              <w:t>Prior 3 + shared variation +0.2(vehicle−3)+N(0,0.85); mapped signals/markings and lighting adjust it.</w:t>
            </w:r>
          </w:p>
        </w:tc>
        <w:tc>
          <w:tcPr>
            <w:tcW w:type="dxa" w:w="3250"/>
          </w:tcPr>
          <w:p>
            <w:pPr>
              <w:spacing w:after="40"/>
            </w:pPr>
            <w:r>
              <w:rPr>
                <w:sz w:val="16"/>
              </w:rPr>
              <w:t>Not a visibility or condition audit.</w:t>
            </w:r>
          </w:p>
        </w:tc>
      </w:tr>
      <w:tr>
        <w:tc>
          <w:tcPr>
            <w:tcW w:type="dxa" w:w="3250"/>
          </w:tcPr>
          <w:p>
            <w:pPr>
              <w:spacing w:after="40"/>
            </w:pPr>
            <w:r>
              <w:rPr>
                <w:sz w:val="16"/>
              </w:rPr>
              <w:t>E1 Destination</w:t>
            </w:r>
          </w:p>
        </w:tc>
        <w:tc>
          <w:tcPr>
            <w:tcW w:type="dxa" w:w="3250"/>
          </w:tcPr>
          <w:p>
            <w:pPr>
              <w:spacing w:after="40"/>
            </w:pPr>
            <w:r>
              <w:rPr>
                <w:sz w:val="16"/>
              </w:rPr>
              <w:t>Strongest mapped destination proximity plus total intensity: round_clip(1+1.05M+0.25 ln(1+I)).</w:t>
            </w:r>
          </w:p>
        </w:tc>
        <w:tc>
          <w:tcPr>
            <w:tcW w:type="dxa" w:w="3250"/>
          </w:tcPr>
          <w:p>
            <w:pPr>
              <w:spacing w:after="40"/>
            </w:pPr>
            <w:r>
              <w:rPr>
                <w:sz w:val="16"/>
              </w:rPr>
              <w:t>Straight-line proxy, not walking-network access.</w:t>
            </w:r>
          </w:p>
        </w:tc>
      </w:tr>
    </w:tbl>
    <w:p>
      <w:r>
        <w:t>Within 500 m, each destination contributes a(1−d/600), where d is great-circle distance in metres and a is the declared destination-type weight. I sums these contributions; M is their maximum (zero when none are mapped). B=1 if a mapped bus stop/platform lies within 250 m, otherwise 0. Schools/clinics/hospitals have a=3, universities/pharmacies/markets 2.5, bus stops 2, banks/post offices/community or worship facilities 1.5, and other shops 1. round_clip rounds to the nearest integer and clips to 1–5. N(0,0.85) denotes mean zero and standard deviation 0.85; all draws are seeded assumptions.</w:t>
      </w:r>
    </w:p>
    <w:p>
      <w:r>
        <w:t>Scores/ranges are synthetic, not calibrated. For deficiency criteria, the prior is 3 and missing tags do not imply absence. Generator seed 20261024 differs from sensitivity seed 20261009. Exact feature weights, road-class constants, draw order, and source records are in reports/synthetic_data_methodology.md and data/source_inventory.csv. No counts, surveys, operating speeds, expert validation, or feasibility findings were invented.</w:t>
      </w:r>
    </w:p>
    <w:p>
      <w:r>
        <w:br w:type="page"/>
      </w:r>
    </w:p>
    <w:p>
      <w:pPr>
        <w:pStyle w:val="Heading1"/>
      </w:pPr>
      <w:r>
        <w:t>IV Methodology</w:t>
      </w:r>
    </w:p>
    <w:p>
      <w:r>
        <w:t>For alternative i and criterion j, represent the priority-oriented input as a triangular fuzzy number x̃ᵢⱼ=(l,c,u), where l≤c≤u. Components are normalized against shared input outer bounds Lⱼ=minᵢlᵢⱼ and Uⱼ=maxᵢuᵢⱼ: z=(x−Lⱼ)/(Uⱼ−Lⱼ). Non-discriminating criteria are removed and remaining equal weights renormalized. With five active criteria, each weight is 1/5. Weighted triangles are compared with theoretical positive ideals (wⱼ,wⱼ,wⱼ) and negative ideals (0,0,0). The positive ideal means greatest intervention priority, not the safest condition.</w:t>
      </w:r>
    </w:p>
    <w:p>
      <w:r>
        <w:t>The vertex distance is d(ã,b̃)=√(((aₗ−bₗ)²+(a꜀−b꜀)²+(aᵤ−bᵤ)²)/3). Criterion distances are summed: Dᵢ⁺=Σⱼd(ṽᵢⱼ,Aⱼ⁺), Dᵢ⁻=Σⱼd(ṽᵢⱼ,Aⱼ⁻); closeness is Cᵢ=Dᵢ⁻/(Dᵢ⁺+Dᵢ⁻). Descending C ranks higher priority. This is a declared project adaptation: shared-range normalization, equal weights, weighted theoretical ideals, and summed distances. Fuzzy membership grades are not probabilities; ranges are uncalibrated stress-test representations.</w:t>
      </w:r>
    </w:p>
    <w:p>
      <w:r>
        <w:t>Research question: does adding E1 change ordering while the four original criteria are retained? E1 is a 500 m straight-line proxy, not the field definition based on verified walking routes and access necessity. Demand and E1 share amenity context; their central-score Spearman correlation is 0.801, so double-counting is plausible. The crisp comparator min–max scales central values and averages active columns; it is not crisp TOPSIS. The comparison does not establish predictive accuracy.</w:t>
      </w:r>
    </w:p>
    <w:p>
      <w:pPr>
        <w:pStyle w:val="Heading2"/>
      </w:pPr>
      <w:r>
        <w:t>Processing path and comparison design</w:t>
      </w:r>
    </w:p>
    <w:tbl>
      <w:tblPr>
        <w:tblStyle w:val="LightShading-Accent1"/>
        <w:tblW w:type="auto" w:w="0"/>
        <w:tblLook w:firstColumn="1" w:firstRow="1" w:lastColumn="0" w:lastRow="0" w:noHBand="0" w:noVBand="1" w:val="04A0"/>
      </w:tblPr>
      <w:tblGrid>
        <w:gridCol w:w="3250"/>
        <w:gridCol w:w="3250"/>
        <w:gridCol w:w="3250"/>
      </w:tblGrid>
      <w:tr>
        <w:trPr>
          <w:tblHeader/>
        </w:trPr>
        <w:tc>
          <w:tcPr>
            <w:tcW w:type="dxa" w:w="3250"/>
          </w:tcPr>
          <w:p>
            <w:pPr>
              <w:spacing w:after="40"/>
            </w:pPr>
            <w:r>
              <w:rPr>
                <w:sz w:val="16"/>
              </w:rPr>
              <w:t>Stage</w:t>
            </w:r>
          </w:p>
        </w:tc>
        <w:tc>
          <w:tcPr>
            <w:tcW w:type="dxa" w:w="3250"/>
          </w:tcPr>
          <w:p>
            <w:pPr>
              <w:spacing w:after="40"/>
            </w:pPr>
            <w:r>
              <w:rPr>
                <w:sz w:val="16"/>
              </w:rPr>
              <w:t>Input → output</w:t>
            </w:r>
          </w:p>
        </w:tc>
        <w:tc>
          <w:tcPr>
            <w:tcW w:type="dxa" w:w="3250"/>
          </w:tcPr>
          <w:p>
            <w:pPr>
              <w:spacing w:after="40"/>
            </w:pPr>
            <w:r>
              <w:rPr>
                <w:sz w:val="16"/>
              </w:rPr>
              <w:t>What enters model</w:t>
            </w:r>
          </w:p>
        </w:tc>
      </w:tr>
      <w:tr>
        <w:tc>
          <w:tcPr>
            <w:tcW w:type="dxa" w:w="3250"/>
          </w:tcPr>
          <w:p>
            <w:pPr>
              <w:spacing w:after="40"/>
            </w:pPr>
            <w:r>
              <w:rPr>
                <w:sz w:val="16"/>
              </w:rPr>
              <w:t>Select candidates</w:t>
            </w:r>
          </w:p>
        </w:tc>
        <w:tc>
          <w:tcPr>
            <w:tcW w:type="dxa" w:w="3250"/>
          </w:tcPr>
          <w:p>
            <w:pPr>
              <w:spacing w:after="40"/>
            </w:pPr>
            <w:r>
              <w:rPr>
                <w:sz w:val="16"/>
              </w:rPr>
              <w:t>osm_context.json + osm_metadata.json → mapped candidates/context</w:t>
            </w:r>
          </w:p>
        </w:tc>
        <w:tc>
          <w:tcPr>
            <w:tcW w:type="dxa" w:w="3250"/>
          </w:tcPr>
          <w:p>
            <w:pPr>
              <w:spacing w:after="40"/>
            </w:pPr>
            <w:r>
              <w:rPr>
                <w:sz w:val="16"/>
              </w:rPr>
              <w:t>Coordinates, road/destination context</w:t>
            </w:r>
          </w:p>
        </w:tc>
      </w:tr>
      <w:tr>
        <w:tc>
          <w:tcPr>
            <w:tcW w:type="dxa" w:w="3250"/>
          </w:tcPr>
          <w:p>
            <w:pPr>
              <w:spacing w:after="40"/>
            </w:pPr>
            <w:r>
              <w:rPr>
                <w:sz w:val="16"/>
              </w:rPr>
              <w:t>Generate synthetic rows</w:t>
            </w:r>
          </w:p>
        </w:tc>
        <w:tc>
          <w:tcPr>
            <w:tcW w:type="dxa" w:w="3250"/>
          </w:tcPr>
          <w:p>
            <w:pPr>
              <w:spacing w:after="40"/>
            </w:pPr>
            <w:r>
              <w:rPr>
                <w:sz w:val="16"/>
              </w:rPr>
              <w:t>build_synthetic_dataset.py → processed/pedestrian_crossings_fuzzy_topsis.csv</w:t>
            </w:r>
          </w:p>
        </w:tc>
        <w:tc>
          <w:tcPr>
            <w:tcW w:type="dxa" w:w="3250"/>
          </w:tcPr>
          <w:p>
            <w:pPr>
              <w:spacing w:after="40"/>
            </w:pPr>
            <w:r>
              <w:rPr>
                <w:sz w:val="16"/>
              </w:rPr>
              <w:t>Five synthetic criterion triples</w:t>
            </w:r>
          </w:p>
        </w:tc>
      </w:tr>
      <w:tr>
        <w:tc>
          <w:tcPr>
            <w:tcW w:type="dxa" w:w="3250"/>
          </w:tcPr>
          <w:p>
            <w:pPr>
              <w:spacing w:after="40"/>
            </w:pPr>
            <w:r>
              <w:rPr>
                <w:sz w:val="16"/>
              </w:rPr>
              <w:t>Run CLI</w:t>
            </w:r>
          </w:p>
        </w:tc>
        <w:tc>
          <w:tcPr>
            <w:tcW w:type="dxa" w:w="3250"/>
          </w:tcPr>
          <w:p>
            <w:pPr>
              <w:spacing w:after="40"/>
            </w:pPr>
            <w:r>
              <w:rPr>
                <w:sz w:val="16"/>
              </w:rPr>
              <w:t>--synthetic-input reads that CSV → scores/ranks</w:t>
            </w:r>
          </w:p>
        </w:tc>
        <w:tc>
          <w:tcPr>
            <w:tcW w:type="dxa" w:w="3250"/>
          </w:tcPr>
          <w:p>
            <w:pPr>
              <w:spacing w:after="40"/>
            </w:pPr>
            <w:r>
              <w:rPr>
                <w:sz w:val="16"/>
              </w:rPr>
              <w:t>Criterion triples only; metadata fields validate provenance, not criteria</w:t>
            </w:r>
          </w:p>
        </w:tc>
      </w:tr>
      <w:tr>
        <w:tc>
          <w:tcPr>
            <w:tcW w:type="dxa" w:w="3250"/>
          </w:tcPr>
          <w:p>
            <w:pPr>
              <w:spacing w:after="40"/>
            </w:pPr>
            <w:r>
              <w:rPr>
                <w:sz w:val="16"/>
              </w:rPr>
              <w:t>Evaluate/report</w:t>
            </w:r>
          </w:p>
        </w:tc>
        <w:tc>
          <w:tcPr>
            <w:tcW w:type="dxa" w:w="3250"/>
          </w:tcPr>
          <w:p>
            <w:pPr>
              <w:spacing w:after="40"/>
            </w:pPr>
            <w:r>
              <w:rPr>
                <w:sz w:val="16"/>
              </w:rPr>
              <w:t>evaluate_report.py → comparisons, sensitivity, calculation trace</w:t>
            </w:r>
          </w:p>
        </w:tc>
        <w:tc>
          <w:tcPr>
            <w:tcW w:type="dxa" w:w="3250"/>
          </w:tcPr>
          <w:p>
            <w:pPr>
              <w:spacing w:after="40"/>
            </w:pPr>
            <w:r>
              <w:rPr>
                <w:sz w:val="16"/>
              </w:rPr>
              <w:t>Same CSV; four- and five-criterion analyses</w:t>
            </w:r>
          </w:p>
        </w:tc>
      </w:tr>
    </w:tbl>
    <w:p>
      <w:r>
        <w:t>The CLI does not reread the OSM files or the field observation template: those inputs are upstream of the generated CSV. The model receives the five criterion triples; identifiers and provenance metadata do not become extra TOPSIS criteria.</w:t>
      </w:r>
    </w:p>
    <w:p>
      <w:r>
        <w:br w:type="page"/>
      </w:r>
    </w:p>
    <w:p>
      <w:pPr>
        <w:pStyle w:val="Heading1"/>
      </w:pPr>
      <w:r>
        <w:t>V Implementation and Evaluation</w:t>
      </w:r>
    </w:p>
    <w:p>
      <w:r>
        <w:t>scripts/build_synthetic_dataset.py generates the synthetic CSV from the preserved OSM extract; the existing CLI/model pipeline evaluates it. scripts/evaluate_report.py regenerates reports/evaluation/summary.json, seeded weight runs, uncertainty scenarios, and a per-criterion trace. This builder reads that summary, including the input SHA-256 and runtime versions; numerical results are not hardcoded. Tests assess reproducibility and arithmetic consistency, not empirical validity.</w:t>
      </w:r>
    </w:p>
    <w:p>
      <w:r>
        <w:t>The recorded execution uses Python 3.14.8, NumPy 2.5.4 and pandas 2.3.3. Validation checks required metadata, unique IDs, coordinates, integer central scores and ordered finite bounds in 1–5; missing values are rejected rather than set to zero. The calculation is deterministic: randomness is confined to the documented synthetic generator and explicitly seeded sensitivity experiments. Appendix B reconstructs one complete five-criterion result.</w:t>
      </w:r>
    </w:p>
    <w:p>
      <w:pPr>
        <w:pStyle w:val="Heading1"/>
      </w:pPr>
      <w:r>
        <w:t>VI Results</w:t>
      </w:r>
    </w:p>
    <w:tbl>
      <w:tblPr>
        <w:tblStyle w:val="LightShading-Accent1"/>
        <w:tblW w:type="auto" w:w="0"/>
        <w:tblLook w:firstColumn="1" w:firstRow="1" w:lastColumn="0" w:lastRow="0" w:noHBand="0" w:noVBand="1" w:val="04A0"/>
      </w:tblPr>
      <w:tblGrid>
        <w:gridCol w:w="1625"/>
        <w:gridCol w:w="1625"/>
        <w:gridCol w:w="1625"/>
        <w:gridCol w:w="1625"/>
        <w:gridCol w:w="1625"/>
        <w:gridCol w:w="1625"/>
      </w:tblGrid>
      <w:tr>
        <w:trPr>
          <w:tblHeader/>
        </w:trPr>
        <w:tc>
          <w:tcPr>
            <w:tcW w:type="dxa" w:w="1625"/>
          </w:tcPr>
          <w:p>
            <w:pPr>
              <w:spacing w:after="40"/>
            </w:pPr>
            <w:r>
              <w:rPr>
                <w:sz w:val="17"/>
              </w:rPr>
              <w:t>Rank</w:t>
            </w:r>
          </w:p>
        </w:tc>
        <w:tc>
          <w:tcPr>
            <w:tcW w:type="dxa" w:w="1625"/>
          </w:tcPr>
          <w:p>
            <w:pPr>
              <w:spacing w:after="40"/>
            </w:pPr>
            <w:r>
              <w:rPr>
                <w:sz w:val="17"/>
              </w:rPr>
              <w:t>OSM node ID</w:t>
            </w:r>
          </w:p>
        </w:tc>
        <w:tc>
          <w:tcPr>
            <w:tcW w:type="dxa" w:w="1625"/>
          </w:tcPr>
          <w:p>
            <w:pPr>
              <w:spacing w:after="40"/>
            </w:pPr>
            <w:r>
              <w:rPr>
                <w:sz w:val="17"/>
              </w:rPr>
              <w:t>Mapped context (hypothetical)</w:t>
            </w:r>
          </w:p>
        </w:tc>
        <w:tc>
          <w:tcPr>
            <w:tcW w:type="dxa" w:w="1625"/>
          </w:tcPr>
          <w:p>
            <w:pPr>
              <w:spacing w:after="40"/>
            </w:pPr>
            <w:r>
              <w:rPr>
                <w:sz w:val="17"/>
              </w:rPr>
              <w:t>Score</w:t>
            </w:r>
          </w:p>
        </w:tc>
        <w:tc>
          <w:tcPr>
            <w:tcW w:type="dxa" w:w="1625"/>
          </w:tcPr>
          <w:p>
            <w:pPr>
              <w:spacing w:after="40"/>
            </w:pPr>
            <w:r>
              <w:rPr>
                <w:sz w:val="17"/>
              </w:rPr>
              <w:t>4-criterion rank</w:t>
            </w:r>
          </w:p>
        </w:tc>
        <w:tc>
          <w:tcPr>
            <w:tcW w:type="dxa" w:w="1625"/>
          </w:tcPr>
          <w:p>
            <w:pPr>
              <w:spacing w:after="40"/>
            </w:pPr>
            <w:r>
              <w:rPr>
                <w:sz w:val="17"/>
              </w:rPr>
              <w:t>Crisp rank</w:t>
            </w:r>
          </w:p>
        </w:tc>
      </w:tr>
      <w:tr>
        <w:tc>
          <w:tcPr>
            <w:tcW w:type="dxa" w:w="1625"/>
          </w:tcPr>
          <w:p>
            <w:pPr>
              <w:spacing w:after="40"/>
            </w:pPr>
            <w:r>
              <w:rPr>
                <w:sz w:val="17"/>
              </w:rPr>
              <w:t>1</w:t>
            </w:r>
          </w:p>
        </w:tc>
        <w:tc>
          <w:tcPr>
            <w:tcW w:type="dxa" w:w="1625"/>
          </w:tcPr>
          <w:p>
            <w:pPr>
              <w:spacing w:after="40"/>
            </w:pPr>
            <w:r>
              <w:rPr>
                <w:sz w:val="17"/>
              </w:rPr>
              <w:t>716872373</w:t>
            </w:r>
          </w:p>
        </w:tc>
        <w:tc>
          <w:tcPr>
            <w:tcW w:type="dxa" w:w="1625"/>
          </w:tcPr>
          <w:p>
            <w:pPr>
              <w:spacing w:after="40"/>
            </w:pPr>
            <w:r>
              <w:rPr>
                <w:sz w:val="17"/>
              </w:rPr>
              <w:t>Pala - Valavoor - Uzhavoor Road</w:t>
            </w:r>
          </w:p>
        </w:tc>
        <w:tc>
          <w:tcPr>
            <w:tcW w:type="dxa" w:w="1625"/>
          </w:tcPr>
          <w:p>
            <w:pPr>
              <w:spacing w:after="40"/>
            </w:pPr>
            <w:r>
              <w:rPr>
                <w:sz w:val="17"/>
              </w:rPr>
              <w:t>0.6839</w:t>
            </w:r>
          </w:p>
        </w:tc>
        <w:tc>
          <w:tcPr>
            <w:tcW w:type="dxa" w:w="1625"/>
          </w:tcPr>
          <w:p>
            <w:pPr>
              <w:spacing w:after="40"/>
            </w:pPr>
            <w:r>
              <w:rPr>
                <w:sz w:val="17"/>
              </w:rPr>
              <w:t>1</w:t>
            </w:r>
          </w:p>
        </w:tc>
        <w:tc>
          <w:tcPr>
            <w:tcW w:type="dxa" w:w="1625"/>
          </w:tcPr>
          <w:p>
            <w:pPr>
              <w:spacing w:after="40"/>
            </w:pPr>
            <w:r>
              <w:rPr>
                <w:sz w:val="17"/>
              </w:rPr>
              <w:t>1</w:t>
            </w:r>
          </w:p>
        </w:tc>
      </w:tr>
      <w:tr>
        <w:tc>
          <w:tcPr>
            <w:tcW w:type="dxa" w:w="1625"/>
          </w:tcPr>
          <w:p>
            <w:pPr>
              <w:spacing w:after="40"/>
            </w:pPr>
            <w:r>
              <w:rPr>
                <w:sz w:val="17"/>
              </w:rPr>
              <w:t>1</w:t>
            </w:r>
          </w:p>
        </w:tc>
        <w:tc>
          <w:tcPr>
            <w:tcW w:type="dxa" w:w="1625"/>
          </w:tcPr>
          <w:p>
            <w:pPr>
              <w:spacing w:after="40"/>
            </w:pPr>
            <w:r>
              <w:rPr>
                <w:sz w:val="17"/>
              </w:rPr>
              <w:t>764885861</w:t>
            </w:r>
          </w:p>
        </w:tc>
        <w:tc>
          <w:tcPr>
            <w:tcW w:type="dxa" w:w="1625"/>
          </w:tcPr>
          <w:p>
            <w:pPr>
              <w:spacing w:after="40"/>
            </w:pPr>
            <w:r>
              <w:rPr>
                <w:sz w:val="17"/>
              </w:rPr>
              <w:t>Pala - Valavoor - Uzhavoor Road</w:t>
            </w:r>
          </w:p>
        </w:tc>
        <w:tc>
          <w:tcPr>
            <w:tcW w:type="dxa" w:w="1625"/>
          </w:tcPr>
          <w:p>
            <w:pPr>
              <w:spacing w:after="40"/>
            </w:pPr>
            <w:r>
              <w:rPr>
                <w:sz w:val="17"/>
              </w:rPr>
              <w:t>0.6839</w:t>
            </w:r>
          </w:p>
        </w:tc>
        <w:tc>
          <w:tcPr>
            <w:tcW w:type="dxa" w:w="1625"/>
          </w:tcPr>
          <w:p>
            <w:pPr>
              <w:spacing w:after="40"/>
            </w:pPr>
            <w:r>
              <w:rPr>
                <w:sz w:val="17"/>
              </w:rPr>
              <w:t>1</w:t>
            </w:r>
          </w:p>
        </w:tc>
        <w:tc>
          <w:tcPr>
            <w:tcW w:type="dxa" w:w="1625"/>
          </w:tcPr>
          <w:p>
            <w:pPr>
              <w:spacing w:after="40"/>
            </w:pPr>
            <w:r>
              <w:rPr>
                <w:sz w:val="17"/>
              </w:rPr>
              <w:t>1</w:t>
            </w:r>
          </w:p>
        </w:tc>
      </w:tr>
      <w:tr>
        <w:tc>
          <w:tcPr>
            <w:tcW w:type="dxa" w:w="1625"/>
          </w:tcPr>
          <w:p>
            <w:pPr>
              <w:spacing w:after="40"/>
            </w:pPr>
            <w:r>
              <w:rPr>
                <w:sz w:val="17"/>
              </w:rPr>
              <w:t>3</w:t>
            </w:r>
          </w:p>
        </w:tc>
        <w:tc>
          <w:tcPr>
            <w:tcW w:type="dxa" w:w="1625"/>
          </w:tcPr>
          <w:p>
            <w:pPr>
              <w:spacing w:after="40"/>
            </w:pPr>
            <w:r>
              <w:rPr>
                <w:sz w:val="17"/>
              </w:rPr>
              <w:t>679043325</w:t>
            </w:r>
          </w:p>
        </w:tc>
        <w:tc>
          <w:tcPr>
            <w:tcW w:type="dxa" w:w="1625"/>
          </w:tcPr>
          <w:p>
            <w:pPr>
              <w:spacing w:after="40"/>
            </w:pPr>
            <w:r>
              <w:rPr>
                <w:sz w:val="17"/>
              </w:rPr>
              <w:t>Valavoor - Chakkampuzha Road (Part)</w:t>
            </w:r>
          </w:p>
        </w:tc>
        <w:tc>
          <w:tcPr>
            <w:tcW w:type="dxa" w:w="1625"/>
          </w:tcPr>
          <w:p>
            <w:pPr>
              <w:spacing w:after="40"/>
            </w:pPr>
            <w:r>
              <w:rPr>
                <w:sz w:val="17"/>
              </w:rPr>
              <w:t>0.6504</w:t>
            </w:r>
          </w:p>
        </w:tc>
        <w:tc>
          <w:tcPr>
            <w:tcW w:type="dxa" w:w="1625"/>
          </w:tcPr>
          <w:p>
            <w:pPr>
              <w:spacing w:after="40"/>
            </w:pPr>
            <w:r>
              <w:rPr>
                <w:sz w:val="17"/>
              </w:rPr>
              <w:t>4</w:t>
            </w:r>
          </w:p>
        </w:tc>
        <w:tc>
          <w:tcPr>
            <w:tcW w:type="dxa" w:w="1625"/>
          </w:tcPr>
          <w:p>
            <w:pPr>
              <w:spacing w:after="40"/>
            </w:pPr>
            <w:r>
              <w:rPr>
                <w:sz w:val="17"/>
              </w:rPr>
              <w:t>4</w:t>
            </w:r>
          </w:p>
        </w:tc>
      </w:tr>
      <w:tr>
        <w:tc>
          <w:tcPr>
            <w:tcW w:type="dxa" w:w="1625"/>
          </w:tcPr>
          <w:p>
            <w:pPr>
              <w:spacing w:after="40"/>
            </w:pPr>
            <w:r>
              <w:rPr>
                <w:sz w:val="17"/>
              </w:rPr>
              <w:t>4</w:t>
            </w:r>
          </w:p>
        </w:tc>
        <w:tc>
          <w:tcPr>
            <w:tcW w:type="dxa" w:w="1625"/>
          </w:tcPr>
          <w:p>
            <w:pPr>
              <w:spacing w:after="40"/>
            </w:pPr>
            <w:r>
              <w:rPr>
                <w:sz w:val="17"/>
              </w:rPr>
              <w:t>679049378</w:t>
            </w:r>
          </w:p>
        </w:tc>
        <w:tc>
          <w:tcPr>
            <w:tcW w:type="dxa" w:w="1625"/>
          </w:tcPr>
          <w:p>
            <w:pPr>
              <w:spacing w:after="40"/>
            </w:pPr>
            <w:r>
              <w:rPr>
                <w:sz w:val="17"/>
              </w:rPr>
              <w:t>Valavoor - Chakkampuzha Road (Part)</w:t>
            </w:r>
          </w:p>
        </w:tc>
        <w:tc>
          <w:tcPr>
            <w:tcW w:type="dxa" w:w="1625"/>
          </w:tcPr>
          <w:p>
            <w:pPr>
              <w:spacing w:after="40"/>
            </w:pPr>
            <w:r>
              <w:rPr>
                <w:sz w:val="17"/>
              </w:rPr>
              <w:t>0.6138</w:t>
            </w:r>
          </w:p>
        </w:tc>
        <w:tc>
          <w:tcPr>
            <w:tcW w:type="dxa" w:w="1625"/>
          </w:tcPr>
          <w:p>
            <w:pPr>
              <w:spacing w:after="40"/>
            </w:pPr>
            <w:r>
              <w:rPr>
                <w:sz w:val="17"/>
              </w:rPr>
              <w:t>3</w:t>
            </w:r>
          </w:p>
        </w:tc>
        <w:tc>
          <w:tcPr>
            <w:tcW w:type="dxa" w:w="1625"/>
          </w:tcPr>
          <w:p>
            <w:pPr>
              <w:spacing w:after="40"/>
            </w:pPr>
            <w:r>
              <w:rPr>
                <w:sz w:val="17"/>
              </w:rPr>
              <w:t>3</w:t>
            </w:r>
          </w:p>
        </w:tc>
      </w:tr>
      <w:tr>
        <w:tc>
          <w:tcPr>
            <w:tcW w:type="dxa" w:w="1625"/>
          </w:tcPr>
          <w:p>
            <w:pPr>
              <w:spacing w:after="40"/>
            </w:pPr>
            <w:r>
              <w:rPr>
                <w:sz w:val="17"/>
              </w:rPr>
              <w:t>5</w:t>
            </w:r>
          </w:p>
        </w:tc>
        <w:tc>
          <w:tcPr>
            <w:tcW w:type="dxa" w:w="1625"/>
          </w:tcPr>
          <w:p>
            <w:pPr>
              <w:spacing w:after="40"/>
            </w:pPr>
            <w:r>
              <w:rPr>
                <w:sz w:val="17"/>
              </w:rPr>
              <w:t>4778312540</w:t>
            </w:r>
          </w:p>
        </w:tc>
        <w:tc>
          <w:tcPr>
            <w:tcW w:type="dxa" w:w="1625"/>
          </w:tcPr>
          <w:p>
            <w:pPr>
              <w:spacing w:after="40"/>
            </w:pPr>
            <w:r>
              <w:rPr>
                <w:sz w:val="17"/>
              </w:rPr>
              <w:t>Pala Vaikom Road</w:t>
            </w:r>
          </w:p>
        </w:tc>
        <w:tc>
          <w:tcPr>
            <w:tcW w:type="dxa" w:w="1625"/>
          </w:tcPr>
          <w:p>
            <w:pPr>
              <w:spacing w:after="40"/>
            </w:pPr>
            <w:r>
              <w:rPr>
                <w:sz w:val="17"/>
              </w:rPr>
              <w:t>0.5829</w:t>
            </w:r>
          </w:p>
        </w:tc>
        <w:tc>
          <w:tcPr>
            <w:tcW w:type="dxa" w:w="1625"/>
          </w:tcPr>
          <w:p>
            <w:pPr>
              <w:spacing w:after="40"/>
            </w:pPr>
            <w:r>
              <w:rPr>
                <w:sz w:val="17"/>
              </w:rPr>
              <w:t>6</w:t>
            </w:r>
          </w:p>
        </w:tc>
        <w:tc>
          <w:tcPr>
            <w:tcW w:type="dxa" w:w="1625"/>
          </w:tcPr>
          <w:p>
            <w:pPr>
              <w:spacing w:after="40"/>
            </w:pPr>
            <w:r>
              <w:rPr>
                <w:sz w:val="17"/>
              </w:rPr>
              <w:t>9</w:t>
            </w:r>
          </w:p>
        </w:tc>
      </w:tr>
      <w:tr>
        <w:tc>
          <w:tcPr>
            <w:tcW w:type="dxa" w:w="1625"/>
          </w:tcPr>
          <w:p>
            <w:pPr>
              <w:spacing w:after="40"/>
            </w:pPr>
            <w:r>
              <w:rPr>
                <w:sz w:val="17"/>
              </w:rPr>
              <w:t>6</w:t>
            </w:r>
          </w:p>
        </w:tc>
        <w:tc>
          <w:tcPr>
            <w:tcW w:type="dxa" w:w="1625"/>
          </w:tcPr>
          <w:p>
            <w:pPr>
              <w:spacing w:after="40"/>
            </w:pPr>
            <w:r>
              <w:rPr>
                <w:sz w:val="17"/>
              </w:rPr>
              <w:t>9119950895</w:t>
            </w:r>
          </w:p>
        </w:tc>
        <w:tc>
          <w:tcPr>
            <w:tcW w:type="dxa" w:w="1625"/>
          </w:tcPr>
          <w:p>
            <w:pPr>
              <w:spacing w:after="40"/>
            </w:pPr>
            <w:r>
              <w:rPr>
                <w:sz w:val="17"/>
              </w:rPr>
              <w:t>palackattumala-valavoor road</w:t>
            </w:r>
          </w:p>
        </w:tc>
        <w:tc>
          <w:tcPr>
            <w:tcW w:type="dxa" w:w="1625"/>
          </w:tcPr>
          <w:p>
            <w:pPr>
              <w:spacing w:after="40"/>
            </w:pPr>
            <w:r>
              <w:rPr>
                <w:sz w:val="17"/>
              </w:rPr>
              <w:t>0.5808</w:t>
            </w:r>
          </w:p>
        </w:tc>
        <w:tc>
          <w:tcPr>
            <w:tcW w:type="dxa" w:w="1625"/>
          </w:tcPr>
          <w:p>
            <w:pPr>
              <w:spacing w:after="40"/>
            </w:pPr>
            <w:r>
              <w:rPr>
                <w:sz w:val="17"/>
              </w:rPr>
              <w:t>7</w:t>
            </w:r>
          </w:p>
        </w:tc>
        <w:tc>
          <w:tcPr>
            <w:tcW w:type="dxa" w:w="1625"/>
          </w:tcPr>
          <w:p>
            <w:pPr>
              <w:spacing w:after="40"/>
            </w:pPr>
            <w:r>
              <w:rPr>
                <w:sz w:val="17"/>
              </w:rPr>
              <w:t>8</w:t>
            </w:r>
          </w:p>
        </w:tc>
      </w:tr>
      <w:tr>
        <w:tc>
          <w:tcPr>
            <w:tcW w:type="dxa" w:w="1625"/>
          </w:tcPr>
          <w:p>
            <w:pPr>
              <w:spacing w:after="40"/>
            </w:pPr>
            <w:r>
              <w:rPr>
                <w:sz w:val="17"/>
              </w:rPr>
              <w:t>7</w:t>
            </w:r>
          </w:p>
        </w:tc>
        <w:tc>
          <w:tcPr>
            <w:tcW w:type="dxa" w:w="1625"/>
          </w:tcPr>
          <w:p>
            <w:pPr>
              <w:spacing w:after="40"/>
            </w:pPr>
            <w:r>
              <w:rPr>
                <w:sz w:val="17"/>
              </w:rPr>
              <w:t>679049494</w:t>
            </w:r>
          </w:p>
        </w:tc>
        <w:tc>
          <w:tcPr>
            <w:tcW w:type="dxa" w:w="1625"/>
          </w:tcPr>
          <w:p>
            <w:pPr>
              <w:spacing w:after="40"/>
            </w:pPr>
            <w:r>
              <w:rPr>
                <w:sz w:val="17"/>
              </w:rPr>
              <w:t>Valvoor - Vellappura Road</w:t>
            </w:r>
          </w:p>
        </w:tc>
        <w:tc>
          <w:tcPr>
            <w:tcW w:type="dxa" w:w="1625"/>
          </w:tcPr>
          <w:p>
            <w:pPr>
              <w:spacing w:after="40"/>
            </w:pPr>
            <w:r>
              <w:rPr>
                <w:sz w:val="17"/>
              </w:rPr>
              <w:t>0.5735</w:t>
            </w:r>
          </w:p>
        </w:tc>
        <w:tc>
          <w:tcPr>
            <w:tcW w:type="dxa" w:w="1625"/>
          </w:tcPr>
          <w:p>
            <w:pPr>
              <w:spacing w:after="40"/>
            </w:pPr>
            <w:r>
              <w:rPr>
                <w:sz w:val="17"/>
              </w:rPr>
              <w:t>5</w:t>
            </w:r>
          </w:p>
        </w:tc>
        <w:tc>
          <w:tcPr>
            <w:tcW w:type="dxa" w:w="1625"/>
          </w:tcPr>
          <w:p>
            <w:pPr>
              <w:spacing w:after="40"/>
            </w:pPr>
            <w:r>
              <w:rPr>
                <w:sz w:val="17"/>
              </w:rPr>
              <w:t>5</w:t>
            </w:r>
          </w:p>
        </w:tc>
      </w:tr>
      <w:tr>
        <w:tc>
          <w:tcPr>
            <w:tcW w:type="dxa" w:w="1625"/>
          </w:tcPr>
          <w:p>
            <w:pPr>
              <w:spacing w:after="40"/>
            </w:pPr>
            <w:r>
              <w:rPr>
                <w:sz w:val="17"/>
              </w:rPr>
              <w:t>8</w:t>
            </w:r>
          </w:p>
        </w:tc>
        <w:tc>
          <w:tcPr>
            <w:tcW w:type="dxa" w:w="1625"/>
          </w:tcPr>
          <w:p>
            <w:pPr>
              <w:spacing w:after="40"/>
            </w:pPr>
            <w:r>
              <w:rPr>
                <w:sz w:val="17"/>
              </w:rPr>
              <w:t>678584549</w:t>
            </w:r>
          </w:p>
        </w:tc>
        <w:tc>
          <w:tcPr>
            <w:tcW w:type="dxa" w:w="1625"/>
          </w:tcPr>
          <w:p>
            <w:pPr>
              <w:spacing w:after="40"/>
            </w:pPr>
            <w:r>
              <w:rPr>
                <w:sz w:val="17"/>
              </w:rPr>
              <w:t>Pala - Valavoor - Uzhavoor Road</w:t>
            </w:r>
          </w:p>
        </w:tc>
        <w:tc>
          <w:tcPr>
            <w:tcW w:type="dxa" w:w="1625"/>
          </w:tcPr>
          <w:p>
            <w:pPr>
              <w:spacing w:after="40"/>
            </w:pPr>
            <w:r>
              <w:rPr>
                <w:sz w:val="17"/>
              </w:rPr>
              <w:t>0.5587</w:t>
            </w:r>
          </w:p>
        </w:tc>
        <w:tc>
          <w:tcPr>
            <w:tcW w:type="dxa" w:w="1625"/>
          </w:tcPr>
          <w:p>
            <w:pPr>
              <w:spacing w:after="40"/>
            </w:pPr>
            <w:r>
              <w:rPr>
                <w:sz w:val="17"/>
              </w:rPr>
              <w:t>10</w:t>
            </w:r>
          </w:p>
        </w:tc>
        <w:tc>
          <w:tcPr>
            <w:tcW w:type="dxa" w:w="1625"/>
          </w:tcPr>
          <w:p>
            <w:pPr>
              <w:spacing w:after="40"/>
            </w:pPr>
            <w:r>
              <w:rPr>
                <w:sz w:val="17"/>
              </w:rPr>
              <w:t>16</w:t>
            </w:r>
          </w:p>
        </w:tc>
      </w:tr>
    </w:tbl>
    <w:p>
      <w:r>
        <w:t>Table 1 reports the leading eight of 28 alternatives under the five-criterion model. Candidate IDs are SYN-OSM- followed by the displayed node ID; full IDs appear in Appendix A. The score and ranks describe this synthetic candidate set only; shared-bound normalization means adding or removing alternatives can change results. The comparisons below use the same alternatives.</w:t>
      </w:r>
    </w:p>
    <w:tbl>
      <w:tblPr>
        <w:tblStyle w:val="LightShading-Accent1"/>
        <w:tblW w:type="auto" w:w="0"/>
        <w:tblLook w:firstColumn="1" w:firstRow="1" w:lastColumn="0" w:lastRow="0" w:noHBand="0" w:noVBand="1" w:val="04A0"/>
      </w:tblPr>
      <w:tblGrid>
        <w:gridCol w:w="2437"/>
        <w:gridCol w:w="2437"/>
        <w:gridCol w:w="2437"/>
        <w:gridCol w:w="2437"/>
      </w:tblGrid>
      <w:tr>
        <w:trPr>
          <w:tblHeader/>
        </w:trPr>
        <w:tc>
          <w:tcPr>
            <w:tcW w:type="dxa" w:w="2437"/>
          </w:tcPr>
          <w:p>
            <w:pPr>
              <w:spacing w:after="40"/>
            </w:pPr>
            <w:r>
              <w:rPr>
                <w:sz w:val="17"/>
              </w:rPr>
              <w:t>Comparison</w:t>
            </w:r>
          </w:p>
        </w:tc>
        <w:tc>
          <w:tcPr>
            <w:tcW w:type="dxa" w:w="2437"/>
          </w:tcPr>
          <w:p>
            <w:pPr>
              <w:spacing w:after="40"/>
            </w:pPr>
            <w:r>
              <w:rPr>
                <w:sz w:val="17"/>
              </w:rPr>
              <w:t>Top-1 changed</w:t>
            </w:r>
          </w:p>
        </w:tc>
        <w:tc>
          <w:tcPr>
            <w:tcW w:type="dxa" w:w="2437"/>
          </w:tcPr>
          <w:p>
            <w:pPr>
              <w:spacing w:after="40"/>
            </w:pPr>
            <w:r>
              <w:rPr>
                <w:sz w:val="17"/>
              </w:rPr>
              <w:t>Top-3 overlap</w:t>
            </w:r>
          </w:p>
        </w:tc>
        <w:tc>
          <w:tcPr>
            <w:tcW w:type="dxa" w:w="2437"/>
          </w:tcPr>
          <w:p>
            <w:pPr>
              <w:spacing w:after="40"/>
            </w:pPr>
            <w:r>
              <w:rPr>
                <w:sz w:val="17"/>
              </w:rPr>
              <w:t>Spearman</w:t>
            </w:r>
          </w:p>
        </w:tc>
      </w:tr>
      <w:tr>
        <w:tc>
          <w:tcPr>
            <w:tcW w:type="dxa" w:w="2437"/>
          </w:tcPr>
          <w:p>
            <w:pPr>
              <w:spacing w:after="40"/>
            </w:pPr>
            <w:r>
              <w:rPr>
                <w:sz w:val="17"/>
              </w:rPr>
              <w:t>base vs crisp</w:t>
            </w:r>
          </w:p>
        </w:tc>
        <w:tc>
          <w:tcPr>
            <w:tcW w:type="dxa" w:w="2437"/>
          </w:tcPr>
          <w:p>
            <w:pPr>
              <w:spacing w:after="40"/>
            </w:pPr>
            <w:r>
              <w:rPr>
                <w:sz w:val="17"/>
              </w:rPr>
              <w:t>False</w:t>
            </w:r>
          </w:p>
        </w:tc>
        <w:tc>
          <w:tcPr>
            <w:tcW w:type="dxa" w:w="2437"/>
          </w:tcPr>
          <w:p>
            <w:pPr>
              <w:spacing w:after="40"/>
            </w:pPr>
            <w:r>
              <w:rPr>
                <w:sz w:val="17"/>
              </w:rPr>
              <w:t>1.000</w:t>
            </w:r>
          </w:p>
        </w:tc>
        <w:tc>
          <w:tcPr>
            <w:tcW w:type="dxa" w:w="2437"/>
          </w:tcPr>
          <w:p>
            <w:pPr>
              <w:spacing w:after="40"/>
            </w:pPr>
            <w:r>
              <w:rPr>
                <w:sz w:val="17"/>
              </w:rPr>
              <w:t>0.964</w:t>
            </w:r>
          </w:p>
        </w:tc>
      </w:tr>
      <w:tr>
        <w:tc>
          <w:tcPr>
            <w:tcW w:type="dxa" w:w="2437"/>
          </w:tcPr>
          <w:p>
            <w:pPr>
              <w:spacing w:after="40"/>
            </w:pPr>
            <w:r>
              <w:rPr>
                <w:sz w:val="17"/>
              </w:rPr>
              <w:t>base vs extension</w:t>
            </w:r>
          </w:p>
        </w:tc>
        <w:tc>
          <w:tcPr>
            <w:tcW w:type="dxa" w:w="2437"/>
          </w:tcPr>
          <w:p>
            <w:pPr>
              <w:spacing w:after="40"/>
            </w:pPr>
            <w:r>
              <w:rPr>
                <w:sz w:val="17"/>
              </w:rPr>
              <w:t>False</w:t>
            </w:r>
          </w:p>
        </w:tc>
        <w:tc>
          <w:tcPr>
            <w:tcW w:type="dxa" w:w="2437"/>
          </w:tcPr>
          <w:p>
            <w:pPr>
              <w:spacing w:after="40"/>
            </w:pPr>
            <w:r>
              <w:rPr>
                <w:sz w:val="17"/>
              </w:rPr>
              <w:t>0.667</w:t>
            </w:r>
          </w:p>
        </w:tc>
        <w:tc>
          <w:tcPr>
            <w:tcW w:type="dxa" w:w="2437"/>
          </w:tcPr>
          <w:p>
            <w:pPr>
              <w:spacing w:after="40"/>
            </w:pPr>
            <w:r>
              <w:rPr>
                <w:sz w:val="17"/>
              </w:rPr>
              <w:t>0.909</w:t>
            </w:r>
          </w:p>
        </w:tc>
      </w:tr>
    </w:tbl>
    <w:p>
      <w:r>
        <w:t>The leading two candidates exchange their demand and vehicle fuzzy triples while their other three triples match. Equal weights yield equal scores; weight changes expose that trade-off rather than establishing a unique best location. Adding E1 exchanges the third and fourth baseline positions, so two of the three selected leading alternatives remain shared. This illustrates a controlled extension effect, not a before/after safety improvement. Rounded scores should not be used to infer meaningful separation of near-tied candidates.</w:t>
      </w:r>
    </w:p>
    <w:p>
      <w:r>
        <w:br w:type="page"/>
      </w:r>
    </w:p>
    <w:p>
      <w:pPr>
        <w:pStyle w:val="Heading1"/>
      </w:pPr>
      <w:r>
        <w:t>Sensitivity to assumptions</w:t>
      </w:r>
    </w:p>
    <w:p>
      <w:r>
        <w:t>Weight sensitivity uses 1,000 seeded perturbations: each equal weight is multiplied by an independent U(0.8,1.2) factor and renormalized. These are exploratory scenarios, not stakeholder preference probabilities. Width sensitivity contracts triangles toward their centers by α∈{0,0.5,1} and recomputes normalization; it tests the full representation/scaling procedure, not fuzziness in isolation. Exact ties share minimum rank; top-choice frequencies use deterministic ID ordering, not probabilities.</w:t>
      </w:r>
    </w:p>
    <w:p>
      <w:r>
        <w:t>The five-criterion top group is tied between SYN-OSM-716872373 and SYN-OSM-764885861 at 0.6839. Adding E1 gives top-three overlap 0.667 versus the four-criterion baseline (Spearman 0.909); this is an assumption comparison, not validation.</w:t>
      </w:r>
    </w:p>
    <w:p>
      <w:r>
        <w:t>Across 1000 weight draws, mean top-three overlap with equal weights is 1.000 (minimum 1.000); mean Spearman rank correlation is 0.990 (minimum 0.964). These perturbations are scenarios, not probabilities of field priority.</w:t>
      </w:r>
    </w:p>
    <w:p>
      <w:r>
        <w:t>Uncertainty-width scenarios (α, top-ranked ID(s), Spearman versus full width): 0.0: SYN-OSM-716872373, SYN-OSM-764885861, 0.977; 0.5: SYN-OSM-716872373, SYN-OSM-764885861, 0.985; 1.0: SYN-OSM-716872373, SYN-OSM-764885861, 1.000.</w:t>
      </w:r>
    </w:p>
    <w:p>
      <w:r>
        <w:drawing>
          <wp:inline xmlns:a="http://schemas.openxmlformats.org/drawingml/2006/main" xmlns:pic="http://schemas.openxmlformats.org/drawingml/2006/picture">
            <wp:extent cx="5212080" cy="1099423"/>
            <wp:docPr id="1" name="Picture 1"/>
            <wp:cNvGraphicFramePr>
              <a:graphicFrameLocks noChangeAspect="1"/>
            </wp:cNvGraphicFramePr>
            <a:graphic>
              <a:graphicData uri="http://schemas.openxmlformats.org/drawingml/2006/picture">
                <pic:pic>
                  <pic:nvPicPr>
                    <pic:cNvPr id="0" name="weight_top1_sensitivity.png"/>
                    <pic:cNvPicPr/>
                  </pic:nvPicPr>
                  <pic:blipFill>
                    <a:blip r:embed="rId9"/>
                    <a:stretch>
                      <a:fillRect/>
                    </a:stretch>
                  </pic:blipFill>
                  <pic:spPr>
                    <a:xfrm>
                      <a:off x="0" y="0"/>
                      <a:ext cx="5212080" cy="1099423"/>
                    </a:xfrm>
                    <a:prstGeom prst="rect"/>
                  </pic:spPr>
                </pic:pic>
              </a:graphicData>
            </a:graphic>
          </wp:inline>
        </w:drawing>
      </w:r>
    </w:p>
    <w:p>
      <w:r>
        <w:t>Figure 1. Only the 2 alternatives selected at least once are shown; the other 26 candidates had zero selections. Deterministic tie handling applies. These are experiment frequencies, not probabilities of need.</w:t>
      </w:r>
    </w:p>
    <w:p>
      <w:pPr>
        <w:pStyle w:val="Heading1"/>
      </w:pPr>
      <w:r>
        <w:t>VII Discussion and Limitations</w:t>
      </w:r>
    </w:p>
    <w:p>
      <w:r>
        <w:t>The experiment demonstrates computational behavior, not relative safety. A high closeness score means proximity to the modeled high-priority ideal within this candidate set. The public map extract supports candidate geometry and contextual proxies, but 27 junction candidates and the one mapped crossing remain unverified. In particular, road class is not traffic volume or operating speed; mapped tags do not certify current conditions; unknown attributes remain unknown. The destination proxy is not a verified route or access measure, and shared amenity inputs may count context twice.</w:t>
      </w:r>
    </w:p>
    <w:p>
      <w:r>
        <w:t>Central-score demand/destination association is reported as a diagnostic, not evidence that criteria are empirically independent. The five-versus-four comparison tests the mathematical consequence of adding E1 at equal weight, not predictive accuracy or improved decisions. The crisp comparator changes representation and scaling. Sensitivity ranges are analyst-chosen, fuzzy bounds uncalibrated, and equal weights provisional. A stable or unstable rank under these scenarios cannot validate the assumptions.</w:t>
      </w:r>
    </w:p>
    <w:p>
      <w:r>
        <w:t>Before operational use, collect matched pedestrian and vehicle counts, independently documented accessibility/control audits, current photographs, walking-route and destination verification, dates and disruptions, costs, jurisdiction, and feasibility. Preserve missingness and disagreements, then obtain independent review against predefined evidence. The model cannot establish code compliance, crash risk, treatment effect, or a budget-optimal portfolio. A low rank does not imply safety; a high rank does not quantify benefit.</w:t>
      </w:r>
    </w:p>
    <w:p>
      <w:pPr>
        <w:pStyle w:val="Heading1"/>
      </w:pPr>
      <w:r>
        <w:t>VIII Conclusion</w:t>
      </w:r>
    </w:p>
    <w:p>
      <w:r>
        <w:t>A reproducible five-criterion simulation demonstrates how a declared fuzzy TOPSIS adaptation can organize hypothetical crossing-improvement candidates and expose sensitivity to weighting and range assumptions. Its evidence-informed geography is not field evidence: public map facts, derived indicators, and modeled scores are kept distinct. Results must not be presented as validated site priorities. The report retains an older four-alternative example separately for teaching and provides reproducible artifacts for later replacement with verified observations.</w:t>
      </w:r>
    </w:p>
    <w:p>
      <w:r>
        <w:br w:type="page"/>
      </w:r>
    </w:p>
    <w:p>
      <w:pPr>
        <w:pStyle w:val="Heading1"/>
      </w:pPr>
      <w:r>
        <w:t>References</w:t>
      </w:r>
    </w:p>
    <w:p>
      <w:r>
        <w:t>[1] Battistini, R., Lantieri, C., Simone, A., Dondi, G., &amp; Vignali, V. (2023). A Decision Support System for the safety evaluation of urban pedestrian crossings. Transportation Research Procedia, 69, 655–662. doi:10.1016/j.trpro.2023.02.220 https://cris.unibo.it/handle/11585/918597</w:t>
      </w:r>
    </w:p>
    <w:p>
      <w:r>
        <w:t>[2] Majumdar, B. B., Sahu, P. K., Patil, M., &amp; Vendotti, N. (2021). Pedestrian Satisfaction-Based Methodology for Prioritization of Critical Sidewalk and Crosswalk Attributes Influencing Walkability. Journal of Urban Planning and Development, 147(3), 04021032. doi:10.1061/(ASCE)UP.1943-5444.0000718 https://doi.org/10.1061/(ASCE)UP.1943-5444.0000718</w:t>
      </w:r>
    </w:p>
    <w:p>
      <w:r>
        <w:t>[3] Alver, Y., &amp; Katanalp, B. Y. (2022). Evaluating the Pedestrian Gap Acceptance in Semicontrolled Midblock Crosswalks with an Integrated AHP-FL Approach. Journal of Transportation Engineering, Part A: Systems, 148(9), 04022066. doi:10.1061/JTEPBS.0000720 https://doi.org/10.1061/JTEPBS.0000720</w:t>
      </w:r>
    </w:p>
    <w:p>
      <w:r>
        <w:t>[4] Chen, C.-T. (2000). Extensions of the TOPSIS for group decision-making under fuzzy environment. Fuzzy Sets and Systems, 114(1), 1–9. doi:10.1016/S0165-0114(97)00377-1 https://doi.org/10.1016/S0165-0114(97)00377-1</w:t>
      </w:r>
    </w:p>
    <w:p>
      <w:r>
        <w:t>[5] Jefmański, B., &amp; Sagan, A. (2021). Item Response Theory Models for the Fuzzy TOPSIS in the Analysis of Survey Data. Symmetry, 13(2), 223. doi:10.3390/sym13020223 https://doi.org/10.3390/sym13020223</w:t>
      </w:r>
    </w:p>
    <w:p>
      <w:r>
        <w:t>[6] NATPAC. Draft Road Safety Vision—Kerala. Undated historical policy/report; retrieved 24 October 2026. https://natpac.kerala.gov.in/wp-content/uploads/2023/08/Draft-Road-Safety-Vision.pdf</w:t>
      </w:r>
    </w:p>
    <w:p>
      <w:r>
        <w:t>[7] Golakiya, H., Chauhan, R., Bari, C. S., &amp; Dhamaniya, A. (2022). Pedestrian safety analysis at urban midblock section under mixed traffic conditions using time to collision as surrogate safety measure. Current Science, 123(9), 1117–1128. doi:10.18520/cs/v123/i9/1117-1128 https://www.currentscience.ac.in/Volumes/123/09/1117.pdf</w:t>
      </w:r>
    </w:p>
    <w:p>
      <w:r>
        <w:t>[8] OpenStreetMap contributors. OpenStreetMap campus-context extract and Nominatim campus lookup (archived 24 October 2026). https://www.openstreetmap.org/copyright</w:t>
      </w:r>
    </w:p>
    <w:p>
      <w:r>
        <w:t>[9] Kerala Data Portal. District-wise PWD road-length and motor-vehicle chart resources. Government of Kerala; retrieved 24 October 2026. https://datahub.kerala.gov.in/datasets?page=12</w:t>
      </w:r>
    </w:p>
    <w:p>
      <w:pPr>
        <w:pStyle w:val="Heading1"/>
      </w:pPr>
      <w:r>
        <w:t>Appendix A. Complete synthetic five-criterion ranking</w:t>
      </w:r>
    </w:p>
    <w:tbl>
      <w:tblPr>
        <w:tblStyle w:val="LightShading-Accent1"/>
        <w:tblW w:type="auto" w:w="0"/>
        <w:tblLayout w:type="fixed"/>
        <w:tblLook w:firstColumn="1" w:firstRow="1" w:lastColumn="0" w:lastRow="0" w:noHBand="0" w:noVBand="1" w:val="04A0"/>
      </w:tblPr>
      <w:tblGrid>
        <w:gridCol w:w="720"/>
        <w:gridCol w:w="3096"/>
        <w:gridCol w:w="1656"/>
        <w:gridCol w:w="2016"/>
        <w:gridCol w:w="2016"/>
      </w:tblGrid>
      <w:tr>
        <w:trPr>
          <w:tblHeader/>
        </w:trPr>
        <w:tc>
          <w:tcPr>
            <w:tcW w:type="dxa" w:w="720"/>
          </w:tcPr>
          <w:p>
            <w:pPr>
              <w:spacing w:after="40"/>
            </w:pPr>
            <w:r>
              <w:rPr>
                <w:sz w:val="17"/>
              </w:rPr>
              <w:t>Rank</w:t>
            </w:r>
          </w:p>
        </w:tc>
        <w:tc>
          <w:tcPr>
            <w:tcW w:type="dxa" w:w="3096"/>
          </w:tcPr>
          <w:p>
            <w:pPr>
              <w:spacing w:after="40"/>
            </w:pPr>
            <w:r>
              <w:rPr>
                <w:sz w:val="17"/>
              </w:rPr>
              <w:t>Alternative ID</w:t>
            </w:r>
          </w:p>
        </w:tc>
        <w:tc>
          <w:tcPr>
            <w:tcW w:type="dxa" w:w="1656"/>
          </w:tcPr>
          <w:p>
            <w:pPr>
              <w:spacing w:after="40"/>
            </w:pPr>
            <w:r>
              <w:rPr>
                <w:sz w:val="17"/>
              </w:rPr>
              <w:t>Score</w:t>
            </w:r>
          </w:p>
        </w:tc>
        <w:tc>
          <w:tcPr>
            <w:tcW w:type="dxa" w:w="2016"/>
          </w:tcPr>
          <w:p>
            <w:pPr>
              <w:spacing w:after="40"/>
            </w:pPr>
            <w:r>
              <w:rPr>
                <w:sz w:val="17"/>
              </w:rPr>
              <w:t>4-criterion rank</w:t>
            </w:r>
          </w:p>
        </w:tc>
        <w:tc>
          <w:tcPr>
            <w:tcW w:type="dxa" w:w="2016"/>
          </w:tcPr>
          <w:p>
            <w:pPr>
              <w:spacing w:after="40"/>
            </w:pPr>
            <w:r>
              <w:rPr>
                <w:sz w:val="17"/>
              </w:rPr>
              <w:t>Crisp rank</w:t>
            </w:r>
          </w:p>
        </w:tc>
      </w:tr>
      <w:tr>
        <w:tc>
          <w:tcPr>
            <w:tcW w:type="dxa" w:w="720"/>
          </w:tcPr>
          <w:p>
            <w:pPr>
              <w:spacing w:after="40"/>
            </w:pPr>
            <w:r>
              <w:rPr>
                <w:sz w:val="17"/>
              </w:rPr>
              <w:t>1</w:t>
            </w:r>
          </w:p>
        </w:tc>
        <w:tc>
          <w:tcPr>
            <w:tcW w:type="dxa" w:w="3096"/>
          </w:tcPr>
          <w:p>
            <w:pPr>
              <w:spacing w:after="40"/>
            </w:pPr>
            <w:r>
              <w:rPr>
                <w:sz w:val="17"/>
              </w:rPr>
              <w:t>SYN-OSM-716872373</w:t>
            </w:r>
          </w:p>
        </w:tc>
        <w:tc>
          <w:tcPr>
            <w:tcW w:type="dxa" w:w="1656"/>
          </w:tcPr>
          <w:p>
            <w:pPr>
              <w:spacing w:after="40"/>
            </w:pPr>
            <w:r>
              <w:rPr>
                <w:sz w:val="17"/>
              </w:rPr>
              <w:t>0.683920</w:t>
            </w:r>
          </w:p>
        </w:tc>
        <w:tc>
          <w:tcPr>
            <w:tcW w:type="dxa" w:w="2016"/>
          </w:tcPr>
          <w:p>
            <w:pPr>
              <w:spacing w:after="40"/>
            </w:pPr>
            <w:r>
              <w:rPr>
                <w:sz w:val="17"/>
              </w:rPr>
              <w:t>1</w:t>
            </w:r>
          </w:p>
        </w:tc>
        <w:tc>
          <w:tcPr>
            <w:tcW w:type="dxa" w:w="2016"/>
          </w:tcPr>
          <w:p>
            <w:pPr>
              <w:spacing w:after="40"/>
            </w:pPr>
            <w:r>
              <w:rPr>
                <w:sz w:val="17"/>
              </w:rPr>
              <w:t>1</w:t>
            </w:r>
          </w:p>
        </w:tc>
      </w:tr>
      <w:tr>
        <w:tc>
          <w:tcPr>
            <w:tcW w:type="dxa" w:w="720"/>
          </w:tcPr>
          <w:p>
            <w:pPr>
              <w:spacing w:after="40"/>
            </w:pPr>
            <w:r>
              <w:rPr>
                <w:sz w:val="17"/>
              </w:rPr>
              <w:t>1</w:t>
            </w:r>
          </w:p>
        </w:tc>
        <w:tc>
          <w:tcPr>
            <w:tcW w:type="dxa" w:w="3096"/>
          </w:tcPr>
          <w:p>
            <w:pPr>
              <w:spacing w:after="40"/>
            </w:pPr>
            <w:r>
              <w:rPr>
                <w:sz w:val="17"/>
              </w:rPr>
              <w:t>SYN-OSM-764885861</w:t>
            </w:r>
          </w:p>
        </w:tc>
        <w:tc>
          <w:tcPr>
            <w:tcW w:type="dxa" w:w="1656"/>
          </w:tcPr>
          <w:p>
            <w:pPr>
              <w:spacing w:after="40"/>
            </w:pPr>
            <w:r>
              <w:rPr>
                <w:sz w:val="17"/>
              </w:rPr>
              <w:t>0.683920</w:t>
            </w:r>
          </w:p>
        </w:tc>
        <w:tc>
          <w:tcPr>
            <w:tcW w:type="dxa" w:w="2016"/>
          </w:tcPr>
          <w:p>
            <w:pPr>
              <w:spacing w:after="40"/>
            </w:pPr>
            <w:r>
              <w:rPr>
                <w:sz w:val="17"/>
              </w:rPr>
              <w:t>1</w:t>
            </w:r>
          </w:p>
        </w:tc>
        <w:tc>
          <w:tcPr>
            <w:tcW w:type="dxa" w:w="2016"/>
          </w:tcPr>
          <w:p>
            <w:pPr>
              <w:spacing w:after="40"/>
            </w:pPr>
            <w:r>
              <w:rPr>
                <w:sz w:val="17"/>
              </w:rPr>
              <w:t>1</w:t>
            </w:r>
          </w:p>
        </w:tc>
      </w:tr>
      <w:tr>
        <w:tc>
          <w:tcPr>
            <w:tcW w:type="dxa" w:w="720"/>
          </w:tcPr>
          <w:p>
            <w:pPr>
              <w:spacing w:after="40"/>
            </w:pPr>
            <w:r>
              <w:rPr>
                <w:sz w:val="17"/>
              </w:rPr>
              <w:t>3</w:t>
            </w:r>
          </w:p>
        </w:tc>
        <w:tc>
          <w:tcPr>
            <w:tcW w:type="dxa" w:w="3096"/>
          </w:tcPr>
          <w:p>
            <w:pPr>
              <w:spacing w:after="40"/>
            </w:pPr>
            <w:r>
              <w:rPr>
                <w:sz w:val="17"/>
              </w:rPr>
              <w:t>SYN-OSM-679043325</w:t>
            </w:r>
          </w:p>
        </w:tc>
        <w:tc>
          <w:tcPr>
            <w:tcW w:type="dxa" w:w="1656"/>
          </w:tcPr>
          <w:p>
            <w:pPr>
              <w:spacing w:after="40"/>
            </w:pPr>
            <w:r>
              <w:rPr>
                <w:sz w:val="17"/>
              </w:rPr>
              <w:t>0.650427</w:t>
            </w:r>
          </w:p>
        </w:tc>
        <w:tc>
          <w:tcPr>
            <w:tcW w:type="dxa" w:w="2016"/>
          </w:tcPr>
          <w:p>
            <w:pPr>
              <w:spacing w:after="40"/>
            </w:pPr>
            <w:r>
              <w:rPr>
                <w:sz w:val="17"/>
              </w:rPr>
              <w:t>4</w:t>
            </w:r>
          </w:p>
        </w:tc>
        <w:tc>
          <w:tcPr>
            <w:tcW w:type="dxa" w:w="2016"/>
          </w:tcPr>
          <w:p>
            <w:pPr>
              <w:spacing w:after="40"/>
            </w:pPr>
            <w:r>
              <w:rPr>
                <w:sz w:val="17"/>
              </w:rPr>
              <w:t>4</w:t>
            </w:r>
          </w:p>
        </w:tc>
      </w:tr>
      <w:tr>
        <w:tc>
          <w:tcPr>
            <w:tcW w:type="dxa" w:w="720"/>
          </w:tcPr>
          <w:p>
            <w:pPr>
              <w:spacing w:after="40"/>
            </w:pPr>
            <w:r>
              <w:rPr>
                <w:sz w:val="17"/>
              </w:rPr>
              <w:t>4</w:t>
            </w:r>
          </w:p>
        </w:tc>
        <w:tc>
          <w:tcPr>
            <w:tcW w:type="dxa" w:w="3096"/>
          </w:tcPr>
          <w:p>
            <w:pPr>
              <w:spacing w:after="40"/>
            </w:pPr>
            <w:r>
              <w:rPr>
                <w:sz w:val="17"/>
              </w:rPr>
              <w:t>SYN-OSM-679049378</w:t>
            </w:r>
          </w:p>
        </w:tc>
        <w:tc>
          <w:tcPr>
            <w:tcW w:type="dxa" w:w="1656"/>
          </w:tcPr>
          <w:p>
            <w:pPr>
              <w:spacing w:after="40"/>
            </w:pPr>
            <w:r>
              <w:rPr>
                <w:sz w:val="17"/>
              </w:rPr>
              <w:t>0.613844</w:t>
            </w:r>
          </w:p>
        </w:tc>
        <w:tc>
          <w:tcPr>
            <w:tcW w:type="dxa" w:w="2016"/>
          </w:tcPr>
          <w:p>
            <w:pPr>
              <w:spacing w:after="40"/>
            </w:pPr>
            <w:r>
              <w:rPr>
                <w:sz w:val="17"/>
              </w:rPr>
              <w:t>3</w:t>
            </w:r>
          </w:p>
        </w:tc>
        <w:tc>
          <w:tcPr>
            <w:tcW w:type="dxa" w:w="2016"/>
          </w:tcPr>
          <w:p>
            <w:pPr>
              <w:spacing w:after="40"/>
            </w:pPr>
            <w:r>
              <w:rPr>
                <w:sz w:val="17"/>
              </w:rPr>
              <w:t>3</w:t>
            </w:r>
          </w:p>
        </w:tc>
      </w:tr>
      <w:tr>
        <w:tc>
          <w:tcPr>
            <w:tcW w:type="dxa" w:w="720"/>
          </w:tcPr>
          <w:p>
            <w:pPr>
              <w:spacing w:after="40"/>
            </w:pPr>
            <w:r>
              <w:rPr>
                <w:sz w:val="17"/>
              </w:rPr>
              <w:t>5</w:t>
            </w:r>
          </w:p>
        </w:tc>
        <w:tc>
          <w:tcPr>
            <w:tcW w:type="dxa" w:w="3096"/>
          </w:tcPr>
          <w:p>
            <w:pPr>
              <w:spacing w:after="40"/>
            </w:pPr>
            <w:r>
              <w:rPr>
                <w:sz w:val="17"/>
              </w:rPr>
              <w:t>SYN-OSM-4778312540</w:t>
            </w:r>
          </w:p>
        </w:tc>
        <w:tc>
          <w:tcPr>
            <w:tcW w:type="dxa" w:w="1656"/>
          </w:tcPr>
          <w:p>
            <w:pPr>
              <w:spacing w:after="40"/>
            </w:pPr>
            <w:r>
              <w:rPr>
                <w:sz w:val="17"/>
              </w:rPr>
              <w:t>0.582940</w:t>
            </w:r>
          </w:p>
        </w:tc>
        <w:tc>
          <w:tcPr>
            <w:tcW w:type="dxa" w:w="2016"/>
          </w:tcPr>
          <w:p>
            <w:pPr>
              <w:spacing w:after="40"/>
            </w:pPr>
            <w:r>
              <w:rPr>
                <w:sz w:val="17"/>
              </w:rPr>
              <w:t>6</w:t>
            </w:r>
          </w:p>
        </w:tc>
        <w:tc>
          <w:tcPr>
            <w:tcW w:type="dxa" w:w="2016"/>
          </w:tcPr>
          <w:p>
            <w:pPr>
              <w:spacing w:after="40"/>
            </w:pPr>
            <w:r>
              <w:rPr>
                <w:sz w:val="17"/>
              </w:rPr>
              <w:t>9</w:t>
            </w:r>
          </w:p>
        </w:tc>
      </w:tr>
      <w:tr>
        <w:tc>
          <w:tcPr>
            <w:tcW w:type="dxa" w:w="720"/>
          </w:tcPr>
          <w:p>
            <w:pPr>
              <w:spacing w:after="40"/>
            </w:pPr>
            <w:r>
              <w:rPr>
                <w:sz w:val="17"/>
              </w:rPr>
              <w:t>6</w:t>
            </w:r>
          </w:p>
        </w:tc>
        <w:tc>
          <w:tcPr>
            <w:tcW w:type="dxa" w:w="3096"/>
          </w:tcPr>
          <w:p>
            <w:pPr>
              <w:spacing w:after="40"/>
            </w:pPr>
            <w:r>
              <w:rPr>
                <w:sz w:val="17"/>
              </w:rPr>
              <w:t>SYN-OSM-9119950895</w:t>
            </w:r>
          </w:p>
        </w:tc>
        <w:tc>
          <w:tcPr>
            <w:tcW w:type="dxa" w:w="1656"/>
          </w:tcPr>
          <w:p>
            <w:pPr>
              <w:spacing w:after="40"/>
            </w:pPr>
            <w:r>
              <w:rPr>
                <w:sz w:val="17"/>
              </w:rPr>
              <w:t>0.580800</w:t>
            </w:r>
          </w:p>
        </w:tc>
        <w:tc>
          <w:tcPr>
            <w:tcW w:type="dxa" w:w="2016"/>
          </w:tcPr>
          <w:p>
            <w:pPr>
              <w:spacing w:after="40"/>
            </w:pPr>
            <w:r>
              <w:rPr>
                <w:sz w:val="17"/>
              </w:rPr>
              <w:t>7</w:t>
            </w:r>
          </w:p>
        </w:tc>
        <w:tc>
          <w:tcPr>
            <w:tcW w:type="dxa" w:w="2016"/>
          </w:tcPr>
          <w:p>
            <w:pPr>
              <w:spacing w:after="40"/>
            </w:pPr>
            <w:r>
              <w:rPr>
                <w:sz w:val="17"/>
              </w:rPr>
              <w:t>8</w:t>
            </w:r>
          </w:p>
        </w:tc>
      </w:tr>
      <w:tr>
        <w:tc>
          <w:tcPr>
            <w:tcW w:type="dxa" w:w="720"/>
          </w:tcPr>
          <w:p>
            <w:pPr>
              <w:spacing w:after="40"/>
            </w:pPr>
            <w:r>
              <w:rPr>
                <w:sz w:val="17"/>
              </w:rPr>
              <w:t>7</w:t>
            </w:r>
          </w:p>
        </w:tc>
        <w:tc>
          <w:tcPr>
            <w:tcW w:type="dxa" w:w="3096"/>
          </w:tcPr>
          <w:p>
            <w:pPr>
              <w:spacing w:after="40"/>
            </w:pPr>
            <w:r>
              <w:rPr>
                <w:sz w:val="17"/>
              </w:rPr>
              <w:t>SYN-OSM-679049494</w:t>
            </w:r>
          </w:p>
        </w:tc>
        <w:tc>
          <w:tcPr>
            <w:tcW w:type="dxa" w:w="1656"/>
          </w:tcPr>
          <w:p>
            <w:pPr>
              <w:spacing w:after="40"/>
            </w:pPr>
            <w:r>
              <w:rPr>
                <w:sz w:val="17"/>
              </w:rPr>
              <w:t>0.573485</w:t>
            </w:r>
          </w:p>
        </w:tc>
        <w:tc>
          <w:tcPr>
            <w:tcW w:type="dxa" w:w="2016"/>
          </w:tcPr>
          <w:p>
            <w:pPr>
              <w:spacing w:after="40"/>
            </w:pPr>
            <w:r>
              <w:rPr>
                <w:sz w:val="17"/>
              </w:rPr>
              <w:t>5</w:t>
            </w:r>
          </w:p>
        </w:tc>
        <w:tc>
          <w:tcPr>
            <w:tcW w:type="dxa" w:w="2016"/>
          </w:tcPr>
          <w:p>
            <w:pPr>
              <w:spacing w:after="40"/>
            </w:pPr>
            <w:r>
              <w:rPr>
                <w:sz w:val="17"/>
              </w:rPr>
              <w:t>5</w:t>
            </w:r>
          </w:p>
        </w:tc>
      </w:tr>
      <w:tr>
        <w:tc>
          <w:tcPr>
            <w:tcW w:type="dxa" w:w="720"/>
          </w:tcPr>
          <w:p>
            <w:pPr>
              <w:spacing w:after="40"/>
            </w:pPr>
            <w:r>
              <w:rPr>
                <w:sz w:val="17"/>
              </w:rPr>
              <w:t>8</w:t>
            </w:r>
          </w:p>
        </w:tc>
        <w:tc>
          <w:tcPr>
            <w:tcW w:type="dxa" w:w="3096"/>
          </w:tcPr>
          <w:p>
            <w:pPr>
              <w:spacing w:after="40"/>
            </w:pPr>
            <w:r>
              <w:rPr>
                <w:sz w:val="17"/>
              </w:rPr>
              <w:t>SYN-OSM-678584549</w:t>
            </w:r>
          </w:p>
        </w:tc>
        <w:tc>
          <w:tcPr>
            <w:tcW w:type="dxa" w:w="1656"/>
          </w:tcPr>
          <w:p>
            <w:pPr>
              <w:spacing w:after="40"/>
            </w:pPr>
            <w:r>
              <w:rPr>
                <w:sz w:val="17"/>
              </w:rPr>
              <w:t>0.558692</w:t>
            </w:r>
          </w:p>
        </w:tc>
        <w:tc>
          <w:tcPr>
            <w:tcW w:type="dxa" w:w="2016"/>
          </w:tcPr>
          <w:p>
            <w:pPr>
              <w:spacing w:after="40"/>
            </w:pPr>
            <w:r>
              <w:rPr>
                <w:sz w:val="17"/>
              </w:rPr>
              <w:t>10</w:t>
            </w:r>
          </w:p>
        </w:tc>
        <w:tc>
          <w:tcPr>
            <w:tcW w:type="dxa" w:w="2016"/>
          </w:tcPr>
          <w:p>
            <w:pPr>
              <w:spacing w:after="40"/>
            </w:pPr>
            <w:r>
              <w:rPr>
                <w:sz w:val="17"/>
              </w:rPr>
              <w:t>16</w:t>
            </w:r>
          </w:p>
        </w:tc>
      </w:tr>
      <w:tr>
        <w:tc>
          <w:tcPr>
            <w:tcW w:type="dxa" w:w="720"/>
          </w:tcPr>
          <w:p>
            <w:pPr>
              <w:spacing w:after="40"/>
            </w:pPr>
            <w:r>
              <w:rPr>
                <w:sz w:val="17"/>
              </w:rPr>
              <w:t>9</w:t>
            </w:r>
          </w:p>
        </w:tc>
        <w:tc>
          <w:tcPr>
            <w:tcW w:type="dxa" w:w="3096"/>
          </w:tcPr>
          <w:p>
            <w:pPr>
              <w:spacing w:after="40"/>
            </w:pPr>
            <w:r>
              <w:rPr>
                <w:sz w:val="17"/>
              </w:rPr>
              <w:t>SYN-OSM-2463032701</w:t>
            </w:r>
          </w:p>
        </w:tc>
        <w:tc>
          <w:tcPr>
            <w:tcW w:type="dxa" w:w="1656"/>
          </w:tcPr>
          <w:p>
            <w:pPr>
              <w:spacing w:after="40"/>
            </w:pPr>
            <w:r>
              <w:rPr>
                <w:sz w:val="17"/>
              </w:rPr>
              <w:t>0.550469</w:t>
            </w:r>
          </w:p>
        </w:tc>
        <w:tc>
          <w:tcPr>
            <w:tcW w:type="dxa" w:w="2016"/>
          </w:tcPr>
          <w:p>
            <w:pPr>
              <w:spacing w:after="40"/>
            </w:pPr>
            <w:r>
              <w:rPr>
                <w:sz w:val="17"/>
              </w:rPr>
              <w:t>11</w:t>
            </w:r>
          </w:p>
        </w:tc>
        <w:tc>
          <w:tcPr>
            <w:tcW w:type="dxa" w:w="2016"/>
          </w:tcPr>
          <w:p>
            <w:pPr>
              <w:spacing w:after="40"/>
            </w:pPr>
            <w:r>
              <w:rPr>
                <w:sz w:val="17"/>
              </w:rPr>
              <w:t>15</w:t>
            </w:r>
          </w:p>
        </w:tc>
      </w:tr>
      <w:tr>
        <w:tc>
          <w:tcPr>
            <w:tcW w:type="dxa" w:w="720"/>
          </w:tcPr>
          <w:p>
            <w:pPr>
              <w:spacing w:after="40"/>
            </w:pPr>
            <w:r>
              <w:rPr>
                <w:sz w:val="17"/>
              </w:rPr>
              <w:t>10</w:t>
            </w:r>
          </w:p>
        </w:tc>
        <w:tc>
          <w:tcPr>
            <w:tcW w:type="dxa" w:w="3096"/>
          </w:tcPr>
          <w:p>
            <w:pPr>
              <w:spacing w:after="40"/>
            </w:pPr>
            <w:r>
              <w:rPr>
                <w:sz w:val="17"/>
              </w:rPr>
              <w:t>SYN-OSM-718505044</w:t>
            </w:r>
          </w:p>
        </w:tc>
        <w:tc>
          <w:tcPr>
            <w:tcW w:type="dxa" w:w="1656"/>
          </w:tcPr>
          <w:p>
            <w:pPr>
              <w:spacing w:after="40"/>
            </w:pPr>
            <w:r>
              <w:rPr>
                <w:sz w:val="17"/>
              </w:rPr>
              <w:t>0.532603</w:t>
            </w:r>
          </w:p>
        </w:tc>
        <w:tc>
          <w:tcPr>
            <w:tcW w:type="dxa" w:w="2016"/>
          </w:tcPr>
          <w:p>
            <w:pPr>
              <w:spacing w:after="40"/>
            </w:pPr>
            <w:r>
              <w:rPr>
                <w:sz w:val="17"/>
              </w:rPr>
              <w:t>8</w:t>
            </w:r>
          </w:p>
        </w:tc>
        <w:tc>
          <w:tcPr>
            <w:tcW w:type="dxa" w:w="2016"/>
          </w:tcPr>
          <w:p>
            <w:pPr>
              <w:spacing w:after="40"/>
            </w:pPr>
            <w:r>
              <w:rPr>
                <w:sz w:val="17"/>
              </w:rPr>
              <w:t>6</w:t>
            </w:r>
          </w:p>
        </w:tc>
      </w:tr>
      <w:tr>
        <w:tc>
          <w:tcPr>
            <w:tcW w:type="dxa" w:w="720"/>
          </w:tcPr>
          <w:p>
            <w:pPr>
              <w:spacing w:after="40"/>
            </w:pPr>
            <w:r>
              <w:rPr>
                <w:sz w:val="17"/>
              </w:rPr>
              <w:t>11</w:t>
            </w:r>
          </w:p>
        </w:tc>
        <w:tc>
          <w:tcPr>
            <w:tcW w:type="dxa" w:w="3096"/>
          </w:tcPr>
          <w:p>
            <w:pPr>
              <w:spacing w:after="40"/>
            </w:pPr>
            <w:r>
              <w:rPr>
                <w:sz w:val="17"/>
              </w:rPr>
              <w:t>SYN-OSM-9878266128</w:t>
            </w:r>
          </w:p>
        </w:tc>
        <w:tc>
          <w:tcPr>
            <w:tcW w:type="dxa" w:w="1656"/>
          </w:tcPr>
          <w:p>
            <w:pPr>
              <w:spacing w:after="40"/>
            </w:pPr>
            <w:r>
              <w:rPr>
                <w:sz w:val="17"/>
              </w:rPr>
              <w:t>0.495477</w:t>
            </w:r>
          </w:p>
        </w:tc>
        <w:tc>
          <w:tcPr>
            <w:tcW w:type="dxa" w:w="2016"/>
          </w:tcPr>
          <w:p>
            <w:pPr>
              <w:spacing w:after="40"/>
            </w:pPr>
            <w:r>
              <w:rPr>
                <w:sz w:val="17"/>
              </w:rPr>
              <w:t>19</w:t>
            </w:r>
          </w:p>
        </w:tc>
        <w:tc>
          <w:tcPr>
            <w:tcW w:type="dxa" w:w="2016"/>
          </w:tcPr>
          <w:p>
            <w:pPr>
              <w:spacing w:after="40"/>
            </w:pPr>
            <w:r>
              <w:rPr>
                <w:sz w:val="17"/>
              </w:rPr>
              <w:t>14</w:t>
            </w:r>
          </w:p>
        </w:tc>
      </w:tr>
      <w:tr>
        <w:tc>
          <w:tcPr>
            <w:tcW w:type="dxa" w:w="720"/>
          </w:tcPr>
          <w:p>
            <w:pPr>
              <w:spacing w:after="40"/>
            </w:pPr>
            <w:r>
              <w:rPr>
                <w:sz w:val="17"/>
              </w:rPr>
              <w:t>12</w:t>
            </w:r>
          </w:p>
        </w:tc>
        <w:tc>
          <w:tcPr>
            <w:tcW w:type="dxa" w:w="3096"/>
          </w:tcPr>
          <w:p>
            <w:pPr>
              <w:spacing w:after="40"/>
            </w:pPr>
            <w:r>
              <w:rPr>
                <w:sz w:val="17"/>
              </w:rPr>
              <w:t>SYN-OSM-8361480469</w:t>
            </w:r>
          </w:p>
        </w:tc>
        <w:tc>
          <w:tcPr>
            <w:tcW w:type="dxa" w:w="1656"/>
          </w:tcPr>
          <w:p>
            <w:pPr>
              <w:spacing w:after="40"/>
            </w:pPr>
            <w:r>
              <w:rPr>
                <w:sz w:val="17"/>
              </w:rPr>
              <w:t>0.492011</w:t>
            </w:r>
          </w:p>
        </w:tc>
        <w:tc>
          <w:tcPr>
            <w:tcW w:type="dxa" w:w="2016"/>
          </w:tcPr>
          <w:p>
            <w:pPr>
              <w:spacing w:after="40"/>
            </w:pPr>
            <w:r>
              <w:rPr>
                <w:sz w:val="17"/>
              </w:rPr>
              <w:t>8</w:t>
            </w:r>
          </w:p>
        </w:tc>
        <w:tc>
          <w:tcPr>
            <w:tcW w:type="dxa" w:w="2016"/>
          </w:tcPr>
          <w:p>
            <w:pPr>
              <w:spacing w:after="40"/>
            </w:pPr>
            <w:r>
              <w:rPr>
                <w:sz w:val="17"/>
              </w:rPr>
              <w:t>6</w:t>
            </w:r>
          </w:p>
        </w:tc>
      </w:tr>
      <w:tr>
        <w:tc>
          <w:tcPr>
            <w:tcW w:type="dxa" w:w="720"/>
          </w:tcPr>
          <w:p>
            <w:pPr>
              <w:spacing w:after="40"/>
            </w:pPr>
            <w:r>
              <w:rPr>
                <w:sz w:val="17"/>
              </w:rPr>
              <w:t>13</w:t>
            </w:r>
          </w:p>
        </w:tc>
        <w:tc>
          <w:tcPr>
            <w:tcW w:type="dxa" w:w="3096"/>
          </w:tcPr>
          <w:p>
            <w:pPr>
              <w:spacing w:after="40"/>
            </w:pPr>
            <w:r>
              <w:rPr>
                <w:sz w:val="17"/>
              </w:rPr>
              <w:t>SYN-OSM-2937370792</w:t>
            </w:r>
          </w:p>
        </w:tc>
        <w:tc>
          <w:tcPr>
            <w:tcW w:type="dxa" w:w="1656"/>
          </w:tcPr>
          <w:p>
            <w:pPr>
              <w:spacing w:after="40"/>
            </w:pPr>
            <w:r>
              <w:rPr>
                <w:sz w:val="17"/>
              </w:rPr>
              <w:t>0.467163</w:t>
            </w:r>
          </w:p>
        </w:tc>
        <w:tc>
          <w:tcPr>
            <w:tcW w:type="dxa" w:w="2016"/>
          </w:tcPr>
          <w:p>
            <w:pPr>
              <w:spacing w:after="40"/>
            </w:pPr>
            <w:r>
              <w:rPr>
                <w:sz w:val="17"/>
              </w:rPr>
              <w:t>17</w:t>
            </w:r>
          </w:p>
        </w:tc>
        <w:tc>
          <w:tcPr>
            <w:tcW w:type="dxa" w:w="2016"/>
          </w:tcPr>
          <w:p>
            <w:pPr>
              <w:spacing w:after="40"/>
            </w:pPr>
            <w:r>
              <w:rPr>
                <w:sz w:val="17"/>
              </w:rPr>
              <w:t>18</w:t>
            </w:r>
          </w:p>
        </w:tc>
      </w:tr>
      <w:tr>
        <w:tc>
          <w:tcPr>
            <w:tcW w:type="dxa" w:w="720"/>
          </w:tcPr>
          <w:p>
            <w:pPr>
              <w:spacing w:after="40"/>
            </w:pPr>
            <w:r>
              <w:rPr>
                <w:sz w:val="17"/>
              </w:rPr>
              <w:t>14</w:t>
            </w:r>
          </w:p>
        </w:tc>
        <w:tc>
          <w:tcPr>
            <w:tcW w:type="dxa" w:w="3096"/>
          </w:tcPr>
          <w:p>
            <w:pPr>
              <w:spacing w:after="40"/>
            </w:pPr>
            <w:r>
              <w:rPr>
                <w:sz w:val="17"/>
              </w:rPr>
              <w:t>SYN-OSM-13132320792</w:t>
            </w:r>
          </w:p>
        </w:tc>
        <w:tc>
          <w:tcPr>
            <w:tcW w:type="dxa" w:w="1656"/>
          </w:tcPr>
          <w:p>
            <w:pPr>
              <w:spacing w:after="40"/>
            </w:pPr>
            <w:r>
              <w:rPr>
                <w:sz w:val="17"/>
              </w:rPr>
              <w:t>0.462831</w:t>
            </w:r>
          </w:p>
        </w:tc>
        <w:tc>
          <w:tcPr>
            <w:tcW w:type="dxa" w:w="2016"/>
          </w:tcPr>
          <w:p>
            <w:pPr>
              <w:spacing w:after="40"/>
            </w:pPr>
            <w:r>
              <w:rPr>
                <w:sz w:val="17"/>
              </w:rPr>
              <w:t>12</w:t>
            </w:r>
          </w:p>
        </w:tc>
        <w:tc>
          <w:tcPr>
            <w:tcW w:type="dxa" w:w="2016"/>
          </w:tcPr>
          <w:p>
            <w:pPr>
              <w:spacing w:after="40"/>
            </w:pPr>
            <w:r>
              <w:rPr>
                <w:sz w:val="17"/>
              </w:rPr>
              <w:t>10</w:t>
            </w:r>
          </w:p>
        </w:tc>
      </w:tr>
      <w:tr>
        <w:tc>
          <w:tcPr>
            <w:tcW w:type="dxa" w:w="720"/>
          </w:tcPr>
          <w:p>
            <w:pPr>
              <w:spacing w:after="40"/>
            </w:pPr>
            <w:r>
              <w:rPr>
                <w:sz w:val="17"/>
              </w:rPr>
              <w:t>14</w:t>
            </w:r>
          </w:p>
        </w:tc>
        <w:tc>
          <w:tcPr>
            <w:tcW w:type="dxa" w:w="3096"/>
          </w:tcPr>
          <w:p>
            <w:pPr>
              <w:spacing w:after="40"/>
            </w:pPr>
            <w:r>
              <w:rPr>
                <w:sz w:val="17"/>
              </w:rPr>
              <w:t>SYN-OSM-800653779</w:t>
            </w:r>
          </w:p>
        </w:tc>
        <w:tc>
          <w:tcPr>
            <w:tcW w:type="dxa" w:w="1656"/>
          </w:tcPr>
          <w:p>
            <w:pPr>
              <w:spacing w:after="40"/>
            </w:pPr>
            <w:r>
              <w:rPr>
                <w:sz w:val="17"/>
              </w:rPr>
              <w:t>0.462831</w:t>
            </w:r>
          </w:p>
        </w:tc>
        <w:tc>
          <w:tcPr>
            <w:tcW w:type="dxa" w:w="2016"/>
          </w:tcPr>
          <w:p>
            <w:pPr>
              <w:spacing w:after="40"/>
            </w:pPr>
            <w:r>
              <w:rPr>
                <w:sz w:val="17"/>
              </w:rPr>
              <w:t>12</w:t>
            </w:r>
          </w:p>
        </w:tc>
        <w:tc>
          <w:tcPr>
            <w:tcW w:type="dxa" w:w="2016"/>
          </w:tcPr>
          <w:p>
            <w:pPr>
              <w:spacing w:after="40"/>
            </w:pPr>
            <w:r>
              <w:rPr>
                <w:sz w:val="17"/>
              </w:rPr>
              <w:t>10</w:t>
            </w:r>
          </w:p>
        </w:tc>
      </w:tr>
      <w:tr>
        <w:tc>
          <w:tcPr>
            <w:tcW w:type="dxa" w:w="720"/>
          </w:tcPr>
          <w:p>
            <w:pPr>
              <w:spacing w:after="40"/>
            </w:pPr>
            <w:r>
              <w:rPr>
                <w:sz w:val="17"/>
              </w:rPr>
              <w:t>14</w:t>
            </w:r>
          </w:p>
        </w:tc>
        <w:tc>
          <w:tcPr>
            <w:tcW w:type="dxa" w:w="3096"/>
          </w:tcPr>
          <w:p>
            <w:pPr>
              <w:spacing w:after="40"/>
            </w:pPr>
            <w:r>
              <w:rPr>
                <w:sz w:val="17"/>
              </w:rPr>
              <w:t>SYN-OSM-9878266129</w:t>
            </w:r>
          </w:p>
        </w:tc>
        <w:tc>
          <w:tcPr>
            <w:tcW w:type="dxa" w:w="1656"/>
          </w:tcPr>
          <w:p>
            <w:pPr>
              <w:spacing w:after="40"/>
            </w:pPr>
            <w:r>
              <w:rPr>
                <w:sz w:val="17"/>
              </w:rPr>
              <w:t>0.462831</w:t>
            </w:r>
          </w:p>
        </w:tc>
        <w:tc>
          <w:tcPr>
            <w:tcW w:type="dxa" w:w="2016"/>
          </w:tcPr>
          <w:p>
            <w:pPr>
              <w:spacing w:after="40"/>
            </w:pPr>
            <w:r>
              <w:rPr>
                <w:sz w:val="17"/>
              </w:rPr>
              <w:t>22</w:t>
            </w:r>
          </w:p>
        </w:tc>
        <w:tc>
          <w:tcPr>
            <w:tcW w:type="dxa" w:w="2016"/>
          </w:tcPr>
          <w:p>
            <w:pPr>
              <w:spacing w:after="40"/>
            </w:pPr>
            <w:r>
              <w:rPr>
                <w:sz w:val="17"/>
              </w:rPr>
              <w:t>20</w:t>
            </w:r>
          </w:p>
        </w:tc>
      </w:tr>
      <w:tr>
        <w:tc>
          <w:tcPr>
            <w:tcW w:type="dxa" w:w="720"/>
          </w:tcPr>
          <w:p>
            <w:pPr>
              <w:spacing w:after="40"/>
            </w:pPr>
            <w:r>
              <w:rPr>
                <w:sz w:val="17"/>
              </w:rPr>
              <w:t>17</w:t>
            </w:r>
          </w:p>
        </w:tc>
        <w:tc>
          <w:tcPr>
            <w:tcW w:type="dxa" w:w="3096"/>
          </w:tcPr>
          <w:p>
            <w:pPr>
              <w:spacing w:after="40"/>
            </w:pPr>
            <w:r>
              <w:rPr>
                <w:sz w:val="17"/>
              </w:rPr>
              <w:t>SYN-OSM-13046000350</w:t>
            </w:r>
          </w:p>
        </w:tc>
        <w:tc>
          <w:tcPr>
            <w:tcW w:type="dxa" w:w="1656"/>
          </w:tcPr>
          <w:p>
            <w:pPr>
              <w:spacing w:after="40"/>
            </w:pPr>
            <w:r>
              <w:rPr>
                <w:sz w:val="17"/>
              </w:rPr>
              <w:t>0.459742</w:t>
            </w:r>
          </w:p>
        </w:tc>
        <w:tc>
          <w:tcPr>
            <w:tcW w:type="dxa" w:w="2016"/>
          </w:tcPr>
          <w:p>
            <w:pPr>
              <w:spacing w:after="40"/>
            </w:pPr>
            <w:r>
              <w:rPr>
                <w:sz w:val="17"/>
              </w:rPr>
              <w:t>23</w:t>
            </w:r>
          </w:p>
        </w:tc>
        <w:tc>
          <w:tcPr>
            <w:tcW w:type="dxa" w:w="2016"/>
          </w:tcPr>
          <w:p>
            <w:pPr>
              <w:spacing w:after="40"/>
            </w:pPr>
            <w:r>
              <w:rPr>
                <w:sz w:val="17"/>
              </w:rPr>
              <w:t>21</w:t>
            </w:r>
          </w:p>
        </w:tc>
      </w:tr>
      <w:tr>
        <w:tc>
          <w:tcPr>
            <w:tcW w:type="dxa" w:w="720"/>
          </w:tcPr>
          <w:p>
            <w:pPr>
              <w:spacing w:after="40"/>
            </w:pPr>
            <w:r>
              <w:rPr>
                <w:sz w:val="17"/>
              </w:rPr>
              <w:t>18</w:t>
            </w:r>
          </w:p>
        </w:tc>
        <w:tc>
          <w:tcPr>
            <w:tcW w:type="dxa" w:w="3096"/>
          </w:tcPr>
          <w:p>
            <w:pPr>
              <w:spacing w:after="40"/>
            </w:pPr>
            <w:r>
              <w:rPr>
                <w:sz w:val="17"/>
              </w:rPr>
              <w:t>SYN-OSM-9878266122</w:t>
            </w:r>
          </w:p>
        </w:tc>
        <w:tc>
          <w:tcPr>
            <w:tcW w:type="dxa" w:w="1656"/>
          </w:tcPr>
          <w:p>
            <w:pPr>
              <w:spacing w:after="40"/>
            </w:pPr>
            <w:r>
              <w:rPr>
                <w:sz w:val="17"/>
              </w:rPr>
              <w:t>0.459456</w:t>
            </w:r>
          </w:p>
        </w:tc>
        <w:tc>
          <w:tcPr>
            <w:tcW w:type="dxa" w:w="2016"/>
          </w:tcPr>
          <w:p>
            <w:pPr>
              <w:spacing w:after="40"/>
            </w:pPr>
            <w:r>
              <w:rPr>
                <w:sz w:val="17"/>
              </w:rPr>
              <w:t>18</w:t>
            </w:r>
          </w:p>
        </w:tc>
        <w:tc>
          <w:tcPr>
            <w:tcW w:type="dxa" w:w="2016"/>
          </w:tcPr>
          <w:p>
            <w:pPr>
              <w:spacing w:after="40"/>
            </w:pPr>
            <w:r>
              <w:rPr>
                <w:sz w:val="17"/>
              </w:rPr>
              <w:t>17</w:t>
            </w:r>
          </w:p>
        </w:tc>
      </w:tr>
      <w:tr>
        <w:tc>
          <w:tcPr>
            <w:tcW w:type="dxa" w:w="720"/>
          </w:tcPr>
          <w:p>
            <w:pPr>
              <w:spacing w:after="40"/>
            </w:pPr>
            <w:r>
              <w:rPr>
                <w:sz w:val="17"/>
              </w:rPr>
              <w:t>19</w:t>
            </w:r>
          </w:p>
        </w:tc>
        <w:tc>
          <w:tcPr>
            <w:tcW w:type="dxa" w:w="3096"/>
          </w:tcPr>
          <w:p>
            <w:pPr>
              <w:spacing w:after="40"/>
            </w:pPr>
            <w:r>
              <w:rPr>
                <w:sz w:val="17"/>
              </w:rPr>
              <w:t>SYN-OSM-2249909190</w:t>
            </w:r>
          </w:p>
        </w:tc>
        <w:tc>
          <w:tcPr>
            <w:tcW w:type="dxa" w:w="1656"/>
          </w:tcPr>
          <w:p>
            <w:pPr>
              <w:spacing w:after="40"/>
            </w:pPr>
            <w:r>
              <w:rPr>
                <w:sz w:val="17"/>
              </w:rPr>
              <w:t>0.443076</w:t>
            </w:r>
          </w:p>
        </w:tc>
        <w:tc>
          <w:tcPr>
            <w:tcW w:type="dxa" w:w="2016"/>
          </w:tcPr>
          <w:p>
            <w:pPr>
              <w:spacing w:after="40"/>
            </w:pPr>
            <w:r>
              <w:rPr>
                <w:sz w:val="17"/>
              </w:rPr>
              <w:t>12</w:t>
            </w:r>
          </w:p>
        </w:tc>
        <w:tc>
          <w:tcPr>
            <w:tcW w:type="dxa" w:w="2016"/>
          </w:tcPr>
          <w:p>
            <w:pPr>
              <w:spacing w:after="40"/>
            </w:pPr>
            <w:r>
              <w:rPr>
                <w:sz w:val="17"/>
              </w:rPr>
              <w:t>10</w:t>
            </w:r>
          </w:p>
        </w:tc>
      </w:tr>
      <w:tr>
        <w:tc>
          <w:tcPr>
            <w:tcW w:type="dxa" w:w="720"/>
          </w:tcPr>
          <w:p>
            <w:pPr>
              <w:spacing w:after="40"/>
            </w:pPr>
            <w:r>
              <w:rPr>
                <w:sz w:val="17"/>
              </w:rPr>
              <w:t>19</w:t>
            </w:r>
          </w:p>
        </w:tc>
        <w:tc>
          <w:tcPr>
            <w:tcW w:type="dxa" w:w="3096"/>
          </w:tcPr>
          <w:p>
            <w:pPr>
              <w:spacing w:after="40"/>
            </w:pPr>
            <w:r>
              <w:rPr>
                <w:sz w:val="17"/>
              </w:rPr>
              <w:t>SYN-OSM-5970919652</w:t>
            </w:r>
          </w:p>
        </w:tc>
        <w:tc>
          <w:tcPr>
            <w:tcW w:type="dxa" w:w="1656"/>
          </w:tcPr>
          <w:p>
            <w:pPr>
              <w:spacing w:after="40"/>
            </w:pPr>
            <w:r>
              <w:rPr>
                <w:sz w:val="17"/>
              </w:rPr>
              <w:t>0.443076</w:t>
            </w:r>
          </w:p>
        </w:tc>
        <w:tc>
          <w:tcPr>
            <w:tcW w:type="dxa" w:w="2016"/>
          </w:tcPr>
          <w:p>
            <w:pPr>
              <w:spacing w:after="40"/>
            </w:pPr>
            <w:r>
              <w:rPr>
                <w:sz w:val="17"/>
              </w:rPr>
              <w:t>12</w:t>
            </w:r>
          </w:p>
        </w:tc>
        <w:tc>
          <w:tcPr>
            <w:tcW w:type="dxa" w:w="2016"/>
          </w:tcPr>
          <w:p>
            <w:pPr>
              <w:spacing w:after="40"/>
            </w:pPr>
            <w:r>
              <w:rPr>
                <w:sz w:val="17"/>
              </w:rPr>
              <w:t>10</w:t>
            </w:r>
          </w:p>
        </w:tc>
      </w:tr>
      <w:tr>
        <w:tc>
          <w:tcPr>
            <w:tcW w:type="dxa" w:w="720"/>
          </w:tcPr>
          <w:p>
            <w:pPr>
              <w:spacing w:after="40"/>
            </w:pPr>
            <w:r>
              <w:rPr>
                <w:sz w:val="17"/>
              </w:rPr>
              <w:t>21</w:t>
            </w:r>
          </w:p>
        </w:tc>
        <w:tc>
          <w:tcPr>
            <w:tcW w:type="dxa" w:w="3096"/>
          </w:tcPr>
          <w:p>
            <w:pPr>
              <w:spacing w:after="40"/>
            </w:pPr>
            <w:r>
              <w:rPr>
                <w:sz w:val="17"/>
              </w:rPr>
              <w:t>SYN-OSM-764885749</w:t>
            </w:r>
          </w:p>
        </w:tc>
        <w:tc>
          <w:tcPr>
            <w:tcW w:type="dxa" w:w="1656"/>
          </w:tcPr>
          <w:p>
            <w:pPr>
              <w:spacing w:after="40"/>
            </w:pPr>
            <w:r>
              <w:rPr>
                <w:sz w:val="17"/>
              </w:rPr>
              <w:t>0.427036</w:t>
            </w:r>
          </w:p>
        </w:tc>
        <w:tc>
          <w:tcPr>
            <w:tcW w:type="dxa" w:w="2016"/>
          </w:tcPr>
          <w:p>
            <w:pPr>
              <w:spacing w:after="40"/>
            </w:pPr>
            <w:r>
              <w:rPr>
                <w:sz w:val="17"/>
              </w:rPr>
              <w:t>16</w:t>
            </w:r>
          </w:p>
        </w:tc>
        <w:tc>
          <w:tcPr>
            <w:tcW w:type="dxa" w:w="2016"/>
          </w:tcPr>
          <w:p>
            <w:pPr>
              <w:spacing w:after="40"/>
            </w:pPr>
            <w:r>
              <w:rPr>
                <w:sz w:val="17"/>
              </w:rPr>
              <w:t>18</w:t>
            </w:r>
          </w:p>
        </w:tc>
      </w:tr>
      <w:tr>
        <w:tc>
          <w:tcPr>
            <w:tcW w:type="dxa" w:w="720"/>
          </w:tcPr>
          <w:p>
            <w:pPr>
              <w:spacing w:after="40"/>
            </w:pPr>
            <w:r>
              <w:rPr>
                <w:sz w:val="17"/>
              </w:rPr>
              <w:t>22</w:t>
            </w:r>
          </w:p>
        </w:tc>
        <w:tc>
          <w:tcPr>
            <w:tcW w:type="dxa" w:w="3096"/>
          </w:tcPr>
          <w:p>
            <w:pPr>
              <w:spacing w:after="40"/>
            </w:pPr>
            <w:r>
              <w:rPr>
                <w:sz w:val="17"/>
              </w:rPr>
              <w:t>SYN-OSM-12716637337</w:t>
            </w:r>
          </w:p>
        </w:tc>
        <w:tc>
          <w:tcPr>
            <w:tcW w:type="dxa" w:w="1656"/>
          </w:tcPr>
          <w:p>
            <w:pPr>
              <w:spacing w:after="40"/>
            </w:pPr>
            <w:r>
              <w:rPr>
                <w:sz w:val="17"/>
              </w:rPr>
              <w:t>0.388449</w:t>
            </w:r>
          </w:p>
        </w:tc>
        <w:tc>
          <w:tcPr>
            <w:tcW w:type="dxa" w:w="2016"/>
          </w:tcPr>
          <w:p>
            <w:pPr>
              <w:spacing w:after="40"/>
            </w:pPr>
            <w:r>
              <w:rPr>
                <w:sz w:val="17"/>
              </w:rPr>
              <w:t>24</w:t>
            </w:r>
          </w:p>
        </w:tc>
        <w:tc>
          <w:tcPr>
            <w:tcW w:type="dxa" w:w="2016"/>
          </w:tcPr>
          <w:p>
            <w:pPr>
              <w:spacing w:after="40"/>
            </w:pPr>
            <w:r>
              <w:rPr>
                <w:sz w:val="17"/>
              </w:rPr>
              <w:t>24</w:t>
            </w:r>
          </w:p>
        </w:tc>
      </w:tr>
      <w:tr>
        <w:tc>
          <w:tcPr>
            <w:tcW w:type="dxa" w:w="720"/>
          </w:tcPr>
          <w:p>
            <w:pPr>
              <w:spacing w:after="40"/>
            </w:pPr>
            <w:r>
              <w:rPr>
                <w:sz w:val="17"/>
              </w:rPr>
              <w:t>23</w:t>
            </w:r>
          </w:p>
        </w:tc>
        <w:tc>
          <w:tcPr>
            <w:tcW w:type="dxa" w:w="3096"/>
          </w:tcPr>
          <w:p>
            <w:pPr>
              <w:spacing w:after="40"/>
            </w:pPr>
            <w:r>
              <w:rPr>
                <w:sz w:val="17"/>
              </w:rPr>
              <w:t>SYN-OSM-874214059</w:t>
            </w:r>
          </w:p>
        </w:tc>
        <w:tc>
          <w:tcPr>
            <w:tcW w:type="dxa" w:w="1656"/>
          </w:tcPr>
          <w:p>
            <w:pPr>
              <w:spacing w:after="40"/>
            </w:pPr>
            <w:r>
              <w:rPr>
                <w:sz w:val="17"/>
              </w:rPr>
              <w:t>0.370067</w:t>
            </w:r>
          </w:p>
        </w:tc>
        <w:tc>
          <w:tcPr>
            <w:tcW w:type="dxa" w:w="2016"/>
          </w:tcPr>
          <w:p>
            <w:pPr>
              <w:spacing w:after="40"/>
            </w:pPr>
            <w:r>
              <w:rPr>
                <w:sz w:val="17"/>
              </w:rPr>
              <w:t>20</w:t>
            </w:r>
          </w:p>
        </w:tc>
        <w:tc>
          <w:tcPr>
            <w:tcW w:type="dxa" w:w="2016"/>
          </w:tcPr>
          <w:p>
            <w:pPr>
              <w:spacing w:after="40"/>
            </w:pPr>
            <w:r>
              <w:rPr>
                <w:sz w:val="17"/>
              </w:rPr>
              <w:t>21</w:t>
            </w:r>
          </w:p>
        </w:tc>
      </w:tr>
      <w:tr>
        <w:tc>
          <w:tcPr>
            <w:tcW w:type="dxa" w:w="720"/>
          </w:tcPr>
          <w:p>
            <w:pPr>
              <w:spacing w:after="40"/>
            </w:pPr>
            <w:r>
              <w:rPr>
                <w:sz w:val="17"/>
              </w:rPr>
              <w:t>23</w:t>
            </w:r>
          </w:p>
        </w:tc>
        <w:tc>
          <w:tcPr>
            <w:tcW w:type="dxa" w:w="3096"/>
          </w:tcPr>
          <w:p>
            <w:pPr>
              <w:spacing w:after="40"/>
            </w:pPr>
            <w:r>
              <w:rPr>
                <w:sz w:val="17"/>
              </w:rPr>
              <w:t>SYN-OSM-8859297040</w:t>
            </w:r>
          </w:p>
        </w:tc>
        <w:tc>
          <w:tcPr>
            <w:tcW w:type="dxa" w:w="1656"/>
          </w:tcPr>
          <w:p>
            <w:pPr>
              <w:spacing w:after="40"/>
            </w:pPr>
            <w:r>
              <w:rPr>
                <w:sz w:val="17"/>
              </w:rPr>
              <w:t>0.370067</w:t>
            </w:r>
          </w:p>
        </w:tc>
        <w:tc>
          <w:tcPr>
            <w:tcW w:type="dxa" w:w="2016"/>
          </w:tcPr>
          <w:p>
            <w:pPr>
              <w:spacing w:after="40"/>
            </w:pPr>
            <w:r>
              <w:rPr>
                <w:sz w:val="17"/>
              </w:rPr>
              <w:t>20</w:t>
            </w:r>
          </w:p>
        </w:tc>
        <w:tc>
          <w:tcPr>
            <w:tcW w:type="dxa" w:w="2016"/>
          </w:tcPr>
          <w:p>
            <w:pPr>
              <w:spacing w:after="40"/>
            </w:pPr>
            <w:r>
              <w:rPr>
                <w:sz w:val="17"/>
              </w:rPr>
              <w:t>21</w:t>
            </w:r>
          </w:p>
        </w:tc>
      </w:tr>
      <w:tr>
        <w:tc>
          <w:tcPr>
            <w:tcW w:type="dxa" w:w="720"/>
          </w:tcPr>
          <w:p>
            <w:pPr>
              <w:spacing w:after="40"/>
            </w:pPr>
            <w:r>
              <w:rPr>
                <w:sz w:val="17"/>
              </w:rPr>
              <w:t>25</w:t>
            </w:r>
          </w:p>
        </w:tc>
        <w:tc>
          <w:tcPr>
            <w:tcW w:type="dxa" w:w="3096"/>
          </w:tcPr>
          <w:p>
            <w:pPr>
              <w:spacing w:after="40"/>
            </w:pPr>
            <w:r>
              <w:rPr>
                <w:sz w:val="17"/>
              </w:rPr>
              <w:t>SYN-OSM-12716637471</w:t>
            </w:r>
          </w:p>
        </w:tc>
        <w:tc>
          <w:tcPr>
            <w:tcW w:type="dxa" w:w="1656"/>
          </w:tcPr>
          <w:p>
            <w:pPr>
              <w:spacing w:after="40"/>
            </w:pPr>
            <w:r>
              <w:rPr>
                <w:sz w:val="17"/>
              </w:rPr>
              <w:t>0.364076</w:t>
            </w:r>
          </w:p>
        </w:tc>
        <w:tc>
          <w:tcPr>
            <w:tcW w:type="dxa" w:w="2016"/>
          </w:tcPr>
          <w:p>
            <w:pPr>
              <w:spacing w:after="40"/>
            </w:pPr>
            <w:r>
              <w:rPr>
                <w:sz w:val="17"/>
              </w:rPr>
              <w:t>28</w:t>
            </w:r>
          </w:p>
        </w:tc>
        <w:tc>
          <w:tcPr>
            <w:tcW w:type="dxa" w:w="2016"/>
          </w:tcPr>
          <w:p>
            <w:pPr>
              <w:spacing w:after="40"/>
            </w:pPr>
            <w:r>
              <w:rPr>
                <w:sz w:val="17"/>
              </w:rPr>
              <w:t>28</w:t>
            </w:r>
          </w:p>
        </w:tc>
      </w:tr>
      <w:tr>
        <w:tc>
          <w:tcPr>
            <w:tcW w:type="dxa" w:w="720"/>
          </w:tcPr>
          <w:p>
            <w:pPr>
              <w:spacing w:after="40"/>
            </w:pPr>
            <w:r>
              <w:rPr>
                <w:sz w:val="17"/>
              </w:rPr>
              <w:t>26</w:t>
            </w:r>
          </w:p>
        </w:tc>
        <w:tc>
          <w:tcPr>
            <w:tcW w:type="dxa" w:w="3096"/>
          </w:tcPr>
          <w:p>
            <w:pPr>
              <w:spacing w:after="40"/>
            </w:pPr>
            <w:r>
              <w:rPr>
                <w:sz w:val="17"/>
              </w:rPr>
              <w:t>SYN-OSM-12716637312</w:t>
            </w:r>
          </w:p>
        </w:tc>
        <w:tc>
          <w:tcPr>
            <w:tcW w:type="dxa" w:w="1656"/>
          </w:tcPr>
          <w:p>
            <w:pPr>
              <w:spacing w:after="40"/>
            </w:pPr>
            <w:r>
              <w:rPr>
                <w:sz w:val="17"/>
              </w:rPr>
              <w:t>0.356273</w:t>
            </w:r>
          </w:p>
        </w:tc>
        <w:tc>
          <w:tcPr>
            <w:tcW w:type="dxa" w:w="2016"/>
          </w:tcPr>
          <w:p>
            <w:pPr>
              <w:spacing w:after="40"/>
            </w:pPr>
            <w:r>
              <w:rPr>
                <w:sz w:val="17"/>
              </w:rPr>
              <w:t>25</w:t>
            </w:r>
          </w:p>
        </w:tc>
        <w:tc>
          <w:tcPr>
            <w:tcW w:type="dxa" w:w="2016"/>
          </w:tcPr>
          <w:p>
            <w:pPr>
              <w:spacing w:after="40"/>
            </w:pPr>
            <w:r>
              <w:rPr>
                <w:sz w:val="17"/>
              </w:rPr>
              <w:t>25</w:t>
            </w:r>
          </w:p>
        </w:tc>
      </w:tr>
      <w:tr>
        <w:tc>
          <w:tcPr>
            <w:tcW w:type="dxa" w:w="720"/>
          </w:tcPr>
          <w:p>
            <w:pPr>
              <w:spacing w:after="40"/>
            </w:pPr>
            <w:r>
              <w:rPr>
                <w:sz w:val="17"/>
              </w:rPr>
              <w:t>27</w:t>
            </w:r>
          </w:p>
        </w:tc>
        <w:tc>
          <w:tcPr>
            <w:tcW w:type="dxa" w:w="3096"/>
          </w:tcPr>
          <w:p>
            <w:pPr>
              <w:spacing w:after="40"/>
            </w:pPr>
            <w:r>
              <w:rPr>
                <w:sz w:val="17"/>
              </w:rPr>
              <w:t>SYN-OSM-13132320783</w:t>
            </w:r>
          </w:p>
        </w:tc>
        <w:tc>
          <w:tcPr>
            <w:tcW w:type="dxa" w:w="1656"/>
          </w:tcPr>
          <w:p>
            <w:pPr>
              <w:spacing w:after="40"/>
            </w:pPr>
            <w:r>
              <w:rPr>
                <w:sz w:val="17"/>
              </w:rPr>
              <w:t>0.296566</w:t>
            </w:r>
          </w:p>
        </w:tc>
        <w:tc>
          <w:tcPr>
            <w:tcW w:type="dxa" w:w="2016"/>
          </w:tcPr>
          <w:p>
            <w:pPr>
              <w:spacing w:after="40"/>
            </w:pPr>
            <w:r>
              <w:rPr>
                <w:sz w:val="17"/>
              </w:rPr>
              <w:t>25</w:t>
            </w:r>
          </w:p>
        </w:tc>
        <w:tc>
          <w:tcPr>
            <w:tcW w:type="dxa" w:w="2016"/>
          </w:tcPr>
          <w:p>
            <w:pPr>
              <w:spacing w:after="40"/>
            </w:pPr>
            <w:r>
              <w:rPr>
                <w:sz w:val="17"/>
              </w:rPr>
              <w:t>25</w:t>
            </w:r>
          </w:p>
        </w:tc>
      </w:tr>
      <w:tr>
        <w:tc>
          <w:tcPr>
            <w:tcW w:type="dxa" w:w="720"/>
          </w:tcPr>
          <w:p>
            <w:pPr>
              <w:spacing w:after="40"/>
            </w:pPr>
            <w:r>
              <w:rPr>
                <w:sz w:val="17"/>
              </w:rPr>
              <w:t>28</w:t>
            </w:r>
          </w:p>
        </w:tc>
        <w:tc>
          <w:tcPr>
            <w:tcW w:type="dxa" w:w="3096"/>
          </w:tcPr>
          <w:p>
            <w:pPr>
              <w:spacing w:after="40"/>
            </w:pPr>
            <w:r>
              <w:rPr>
                <w:sz w:val="17"/>
              </w:rPr>
              <w:t>SYN-OSM-2937370755</w:t>
            </w:r>
          </w:p>
        </w:tc>
        <w:tc>
          <w:tcPr>
            <w:tcW w:type="dxa" w:w="1656"/>
          </w:tcPr>
          <w:p>
            <w:pPr>
              <w:spacing w:after="40"/>
            </w:pPr>
            <w:r>
              <w:rPr>
                <w:sz w:val="17"/>
              </w:rPr>
              <w:t>0.296566</w:t>
            </w:r>
          </w:p>
        </w:tc>
        <w:tc>
          <w:tcPr>
            <w:tcW w:type="dxa" w:w="2016"/>
          </w:tcPr>
          <w:p>
            <w:pPr>
              <w:spacing w:after="40"/>
            </w:pPr>
            <w:r>
              <w:rPr>
                <w:sz w:val="17"/>
              </w:rPr>
              <w:t>25</w:t>
            </w:r>
          </w:p>
        </w:tc>
        <w:tc>
          <w:tcPr>
            <w:tcW w:type="dxa" w:w="2016"/>
          </w:tcPr>
          <w:p>
            <w:pPr>
              <w:spacing w:after="40"/>
            </w:pPr>
            <w:r>
              <w:rPr>
                <w:sz w:val="17"/>
              </w:rPr>
              <w:t>25</w:t>
            </w:r>
          </w:p>
        </w:tc>
      </w:tr>
    </w:tbl>
    <w:p>
      <w:pPr>
        <w:pStyle w:val="Heading1"/>
      </w:pPr>
      <w:r>
        <w:t>Appendix B. Worked five-criterion calculation</w:t>
      </w:r>
    </w:p>
    <w:p>
      <w:r>
        <w:t>Alternative SYN-OSM-716872373: raw and normalized triples, equal weight, weighted triple, and criterion-level vertex distances are shown below. Distances sum across criteria; C = D−/(D+ + D−).</w:t>
      </w:r>
    </w:p>
    <w:tbl>
      <w:tblPr>
        <w:tblStyle w:val="LightShading-Accent1"/>
        <w:tblW w:type="auto" w:w="0"/>
        <w:tblLook w:firstColumn="1" w:firstRow="1" w:lastColumn="0" w:lastRow="0" w:noHBand="0" w:noVBand="1" w:val="04A0"/>
      </w:tblPr>
      <w:tblGrid>
        <w:gridCol w:w="1393"/>
        <w:gridCol w:w="1393"/>
        <w:gridCol w:w="1393"/>
        <w:gridCol w:w="1393"/>
        <w:gridCol w:w="1393"/>
        <w:gridCol w:w="1393"/>
        <w:gridCol w:w="1393"/>
      </w:tblGrid>
      <w:tr>
        <w:trPr>
          <w:tblHeader/>
        </w:trPr>
        <w:tc>
          <w:tcPr>
            <w:tcW w:type="dxa" w:w="1393"/>
          </w:tcPr>
          <w:p>
            <w:pPr>
              <w:spacing w:after="40"/>
            </w:pPr>
            <w:r>
              <w:rPr>
                <w:sz w:val="17"/>
              </w:rPr>
              <w:t>Criterion</w:t>
            </w:r>
          </w:p>
        </w:tc>
        <w:tc>
          <w:tcPr>
            <w:tcW w:type="dxa" w:w="1393"/>
          </w:tcPr>
          <w:p>
            <w:pPr>
              <w:spacing w:after="40"/>
            </w:pPr>
            <w:r>
              <w:rPr>
                <w:sz w:val="17"/>
              </w:rPr>
              <w:t>Raw (l,c,u)</w:t>
            </w:r>
          </w:p>
        </w:tc>
        <w:tc>
          <w:tcPr>
            <w:tcW w:type="dxa" w:w="1393"/>
          </w:tcPr>
          <w:p>
            <w:pPr>
              <w:spacing w:after="40"/>
            </w:pPr>
            <w:r>
              <w:rPr>
                <w:sz w:val="17"/>
              </w:rPr>
              <w:t>Normalized</w:t>
            </w:r>
          </w:p>
        </w:tc>
        <w:tc>
          <w:tcPr>
            <w:tcW w:type="dxa" w:w="1393"/>
          </w:tcPr>
          <w:p>
            <w:pPr>
              <w:spacing w:after="40"/>
            </w:pPr>
            <w:r>
              <w:rPr>
                <w:sz w:val="17"/>
              </w:rPr>
              <w:t>Weight</w:t>
            </w:r>
          </w:p>
        </w:tc>
        <w:tc>
          <w:tcPr>
            <w:tcW w:type="dxa" w:w="1393"/>
          </w:tcPr>
          <w:p>
            <w:pPr>
              <w:spacing w:after="40"/>
            </w:pPr>
            <w:r>
              <w:rPr>
                <w:sz w:val="17"/>
              </w:rPr>
              <w:t>Weighted</w:t>
            </w:r>
          </w:p>
        </w:tc>
        <w:tc>
          <w:tcPr>
            <w:tcW w:type="dxa" w:w="1393"/>
          </w:tcPr>
          <w:p>
            <w:pPr>
              <w:spacing w:after="40"/>
            </w:pPr>
            <w:r>
              <w:rPr>
                <w:sz w:val="17"/>
              </w:rPr>
              <w:t>d+</w:t>
            </w:r>
          </w:p>
        </w:tc>
        <w:tc>
          <w:tcPr>
            <w:tcW w:type="dxa" w:w="1393"/>
          </w:tcPr>
          <w:p>
            <w:pPr>
              <w:spacing w:after="40"/>
            </w:pPr>
            <w:r>
              <w:rPr>
                <w:sz w:val="17"/>
              </w:rPr>
              <w:t>d−</w:t>
            </w:r>
          </w:p>
        </w:tc>
      </w:tr>
      <w:tr>
        <w:tc>
          <w:tcPr>
            <w:tcW w:type="dxa" w:w="1393"/>
          </w:tcPr>
          <w:p>
            <w:pPr>
              <w:spacing w:after="40"/>
            </w:pPr>
            <w:r>
              <w:rPr>
                <w:sz w:val="17"/>
              </w:rPr>
              <w:t>ped</w:t>
            </w:r>
          </w:p>
        </w:tc>
        <w:tc>
          <w:tcPr>
            <w:tcW w:type="dxa" w:w="1393"/>
          </w:tcPr>
          <w:p>
            <w:pPr>
              <w:spacing w:after="40"/>
            </w:pPr>
            <w:r>
              <w:rPr>
                <w:sz w:val="17"/>
              </w:rPr>
              <w:t>[3.0, 4.0, 5.0]</w:t>
            </w:r>
          </w:p>
        </w:tc>
        <w:tc>
          <w:tcPr>
            <w:tcW w:type="dxa" w:w="1393"/>
          </w:tcPr>
          <w:p>
            <w:pPr>
              <w:spacing w:after="40"/>
            </w:pPr>
            <w:r>
              <w:rPr>
                <w:sz w:val="17"/>
              </w:rPr>
              <w:t>[0.5, 0.75, 1.0]</w:t>
            </w:r>
          </w:p>
        </w:tc>
        <w:tc>
          <w:tcPr>
            <w:tcW w:type="dxa" w:w="1393"/>
          </w:tcPr>
          <w:p>
            <w:pPr>
              <w:spacing w:after="40"/>
            </w:pPr>
            <w:r>
              <w:rPr>
                <w:sz w:val="17"/>
              </w:rPr>
              <w:t>0.200</w:t>
            </w:r>
          </w:p>
        </w:tc>
        <w:tc>
          <w:tcPr>
            <w:tcW w:type="dxa" w:w="1393"/>
          </w:tcPr>
          <w:p>
            <w:pPr>
              <w:spacing w:after="40"/>
            </w:pPr>
            <w:r>
              <w:rPr>
                <w:sz w:val="17"/>
              </w:rPr>
              <w:t>[0.1, 0.15, 0.2]</w:t>
            </w:r>
          </w:p>
        </w:tc>
        <w:tc>
          <w:tcPr>
            <w:tcW w:type="dxa" w:w="1393"/>
          </w:tcPr>
          <w:p>
            <w:pPr>
              <w:spacing w:after="40"/>
            </w:pPr>
            <w:r>
              <w:rPr>
                <w:sz w:val="17"/>
              </w:rPr>
              <w:t>0.064550</w:t>
            </w:r>
          </w:p>
        </w:tc>
        <w:tc>
          <w:tcPr>
            <w:tcW w:type="dxa" w:w="1393"/>
          </w:tcPr>
          <w:p>
            <w:pPr>
              <w:spacing w:after="40"/>
            </w:pPr>
            <w:r>
              <w:rPr>
                <w:sz w:val="17"/>
              </w:rPr>
              <w:t>0.155456</w:t>
            </w:r>
          </w:p>
        </w:tc>
      </w:tr>
      <w:tr>
        <w:tc>
          <w:tcPr>
            <w:tcW w:type="dxa" w:w="1393"/>
          </w:tcPr>
          <w:p>
            <w:pPr>
              <w:spacing w:after="40"/>
            </w:pPr>
            <w:r>
              <w:rPr>
                <w:sz w:val="17"/>
              </w:rPr>
              <w:t>vehicle</w:t>
            </w:r>
          </w:p>
        </w:tc>
        <w:tc>
          <w:tcPr>
            <w:tcW w:type="dxa" w:w="1393"/>
          </w:tcPr>
          <w:p>
            <w:pPr>
              <w:spacing w:after="40"/>
            </w:pPr>
            <w:r>
              <w:rPr>
                <w:sz w:val="17"/>
              </w:rPr>
              <w:t>[4.0, 5.0, 5.0]</w:t>
            </w:r>
          </w:p>
        </w:tc>
        <w:tc>
          <w:tcPr>
            <w:tcW w:type="dxa" w:w="1393"/>
          </w:tcPr>
          <w:p>
            <w:pPr>
              <w:spacing w:after="40"/>
            </w:pPr>
            <w:r>
              <w:rPr>
                <w:sz w:val="17"/>
              </w:rPr>
              <w:t>[0.75, 1.0, 1.0]</w:t>
            </w:r>
          </w:p>
        </w:tc>
        <w:tc>
          <w:tcPr>
            <w:tcW w:type="dxa" w:w="1393"/>
          </w:tcPr>
          <w:p>
            <w:pPr>
              <w:spacing w:after="40"/>
            </w:pPr>
            <w:r>
              <w:rPr>
                <w:sz w:val="17"/>
              </w:rPr>
              <w:t>0.200</w:t>
            </w:r>
          </w:p>
        </w:tc>
        <w:tc>
          <w:tcPr>
            <w:tcW w:type="dxa" w:w="1393"/>
          </w:tcPr>
          <w:p>
            <w:pPr>
              <w:spacing w:after="40"/>
            </w:pPr>
            <w:r>
              <w:rPr>
                <w:sz w:val="17"/>
              </w:rPr>
              <w:t>[0.15, 0.2, 0.2]</w:t>
            </w:r>
          </w:p>
        </w:tc>
        <w:tc>
          <w:tcPr>
            <w:tcW w:type="dxa" w:w="1393"/>
          </w:tcPr>
          <w:p>
            <w:pPr>
              <w:spacing w:after="40"/>
            </w:pPr>
            <w:r>
              <w:rPr>
                <w:sz w:val="17"/>
              </w:rPr>
              <w:t>0.028868</w:t>
            </w:r>
          </w:p>
        </w:tc>
        <w:tc>
          <w:tcPr>
            <w:tcW w:type="dxa" w:w="1393"/>
          </w:tcPr>
          <w:p>
            <w:pPr>
              <w:spacing w:after="40"/>
            </w:pPr>
            <w:r>
              <w:rPr>
                <w:sz w:val="17"/>
              </w:rPr>
              <w:t>0.184842</w:t>
            </w:r>
          </w:p>
        </w:tc>
      </w:tr>
      <w:tr>
        <w:tc>
          <w:tcPr>
            <w:tcW w:type="dxa" w:w="1393"/>
          </w:tcPr>
          <w:p>
            <w:pPr>
              <w:spacing w:after="40"/>
            </w:pPr>
            <w:r>
              <w:rPr>
                <w:sz w:val="17"/>
              </w:rPr>
              <w:t>access</w:t>
            </w:r>
          </w:p>
        </w:tc>
        <w:tc>
          <w:tcPr>
            <w:tcW w:type="dxa" w:w="1393"/>
          </w:tcPr>
          <w:p>
            <w:pPr>
              <w:spacing w:after="40"/>
            </w:pPr>
            <w:r>
              <w:rPr>
                <w:sz w:val="17"/>
              </w:rPr>
              <w:t>[1.5, 3.0, 4.5]</w:t>
            </w:r>
          </w:p>
        </w:tc>
        <w:tc>
          <w:tcPr>
            <w:tcW w:type="dxa" w:w="1393"/>
          </w:tcPr>
          <w:p>
            <w:pPr>
              <w:spacing w:after="40"/>
            </w:pPr>
            <w:r>
              <w:rPr>
                <w:sz w:val="17"/>
              </w:rPr>
              <w:t>[0.125, 0.5, 0.875]</w:t>
            </w:r>
          </w:p>
        </w:tc>
        <w:tc>
          <w:tcPr>
            <w:tcW w:type="dxa" w:w="1393"/>
          </w:tcPr>
          <w:p>
            <w:pPr>
              <w:spacing w:after="40"/>
            </w:pPr>
            <w:r>
              <w:rPr>
                <w:sz w:val="17"/>
              </w:rPr>
              <w:t>0.200</w:t>
            </w:r>
          </w:p>
        </w:tc>
        <w:tc>
          <w:tcPr>
            <w:tcW w:type="dxa" w:w="1393"/>
          </w:tcPr>
          <w:p>
            <w:pPr>
              <w:spacing w:after="40"/>
            </w:pPr>
            <w:r>
              <w:rPr>
                <w:sz w:val="17"/>
              </w:rPr>
              <w:t>[0.025, 0.1, 0.175]</w:t>
            </w:r>
          </w:p>
        </w:tc>
        <w:tc>
          <w:tcPr>
            <w:tcW w:type="dxa" w:w="1393"/>
          </w:tcPr>
          <w:p>
            <w:pPr>
              <w:spacing w:after="40"/>
            </w:pPr>
            <w:r>
              <w:rPr>
                <w:sz w:val="17"/>
              </w:rPr>
              <w:t>0.117260</w:t>
            </w:r>
          </w:p>
        </w:tc>
        <w:tc>
          <w:tcPr>
            <w:tcW w:type="dxa" w:w="1393"/>
          </w:tcPr>
          <w:p>
            <w:pPr>
              <w:spacing w:after="40"/>
            </w:pPr>
            <w:r>
              <w:rPr>
                <w:sz w:val="17"/>
              </w:rPr>
              <w:t>0.117260</w:t>
            </w:r>
          </w:p>
        </w:tc>
      </w:tr>
      <w:tr>
        <w:tc>
          <w:tcPr>
            <w:tcW w:type="dxa" w:w="1393"/>
          </w:tcPr>
          <w:p>
            <w:pPr>
              <w:spacing w:after="40"/>
            </w:pPr>
            <w:r>
              <w:rPr>
                <w:sz w:val="17"/>
              </w:rPr>
              <w:t>deficiency</w:t>
            </w:r>
          </w:p>
        </w:tc>
        <w:tc>
          <w:tcPr>
            <w:tcW w:type="dxa" w:w="1393"/>
          </w:tcPr>
          <w:p>
            <w:pPr>
              <w:spacing w:after="40"/>
            </w:pPr>
            <w:r>
              <w:rPr>
                <w:sz w:val="17"/>
              </w:rPr>
              <w:t>[2.5, 4.0, 5.0]</w:t>
            </w:r>
          </w:p>
        </w:tc>
        <w:tc>
          <w:tcPr>
            <w:tcW w:type="dxa" w:w="1393"/>
          </w:tcPr>
          <w:p>
            <w:pPr>
              <w:spacing w:after="40"/>
            </w:pPr>
            <w:r>
              <w:rPr>
                <w:sz w:val="17"/>
              </w:rPr>
              <w:t>[0.375, 0.75, 1.0]</w:t>
            </w:r>
          </w:p>
        </w:tc>
        <w:tc>
          <w:tcPr>
            <w:tcW w:type="dxa" w:w="1393"/>
          </w:tcPr>
          <w:p>
            <w:pPr>
              <w:spacing w:after="40"/>
            </w:pPr>
            <w:r>
              <w:rPr>
                <w:sz w:val="17"/>
              </w:rPr>
              <w:t>0.200</w:t>
            </w:r>
          </w:p>
        </w:tc>
        <w:tc>
          <w:tcPr>
            <w:tcW w:type="dxa" w:w="1393"/>
          </w:tcPr>
          <w:p>
            <w:pPr>
              <w:spacing w:after="40"/>
            </w:pPr>
            <w:r>
              <w:rPr>
                <w:sz w:val="17"/>
              </w:rPr>
              <w:t>[0.075, 0.15, 0.2]</w:t>
            </w:r>
          </w:p>
        </w:tc>
        <w:tc>
          <w:tcPr>
            <w:tcW w:type="dxa" w:w="1393"/>
          </w:tcPr>
          <w:p>
            <w:pPr>
              <w:spacing w:after="40"/>
            </w:pPr>
            <w:r>
              <w:rPr>
                <w:sz w:val="17"/>
              </w:rPr>
              <w:t>0.077728</w:t>
            </w:r>
          </w:p>
        </w:tc>
        <w:tc>
          <w:tcPr>
            <w:tcW w:type="dxa" w:w="1393"/>
          </w:tcPr>
          <w:p>
            <w:pPr>
              <w:spacing w:after="40"/>
            </w:pPr>
            <w:r>
              <w:rPr>
                <w:sz w:val="17"/>
              </w:rPr>
              <w:t>0.150693</w:t>
            </w:r>
          </w:p>
        </w:tc>
      </w:tr>
      <w:tr>
        <w:tc>
          <w:tcPr>
            <w:tcW w:type="dxa" w:w="1393"/>
          </w:tcPr>
          <w:p>
            <w:pPr>
              <w:spacing w:after="40"/>
            </w:pPr>
            <w:r>
              <w:rPr>
                <w:sz w:val="17"/>
              </w:rPr>
              <w:t>destination</w:t>
            </w:r>
          </w:p>
        </w:tc>
        <w:tc>
          <w:tcPr>
            <w:tcW w:type="dxa" w:w="1393"/>
          </w:tcPr>
          <w:p>
            <w:pPr>
              <w:spacing w:after="40"/>
            </w:pPr>
            <w:r>
              <w:rPr>
                <w:sz w:val="17"/>
              </w:rPr>
              <w:t>[3.0, 4.0, 5.0]</w:t>
            </w:r>
          </w:p>
        </w:tc>
        <w:tc>
          <w:tcPr>
            <w:tcW w:type="dxa" w:w="1393"/>
          </w:tcPr>
          <w:p>
            <w:pPr>
              <w:spacing w:after="40"/>
            </w:pPr>
            <w:r>
              <w:rPr>
                <w:sz w:val="17"/>
              </w:rPr>
              <w:t>[0.5, 0.75, 1.0]</w:t>
            </w:r>
          </w:p>
        </w:tc>
        <w:tc>
          <w:tcPr>
            <w:tcW w:type="dxa" w:w="1393"/>
          </w:tcPr>
          <w:p>
            <w:pPr>
              <w:spacing w:after="40"/>
            </w:pPr>
            <w:r>
              <w:rPr>
                <w:sz w:val="17"/>
              </w:rPr>
              <w:t>0.200</w:t>
            </w:r>
          </w:p>
        </w:tc>
        <w:tc>
          <w:tcPr>
            <w:tcW w:type="dxa" w:w="1393"/>
          </w:tcPr>
          <w:p>
            <w:pPr>
              <w:spacing w:after="40"/>
            </w:pPr>
            <w:r>
              <w:rPr>
                <w:sz w:val="17"/>
              </w:rPr>
              <w:t>[0.1, 0.15, 0.2]</w:t>
            </w:r>
          </w:p>
        </w:tc>
        <w:tc>
          <w:tcPr>
            <w:tcW w:type="dxa" w:w="1393"/>
          </w:tcPr>
          <w:p>
            <w:pPr>
              <w:spacing w:after="40"/>
            </w:pPr>
            <w:r>
              <w:rPr>
                <w:sz w:val="17"/>
              </w:rPr>
              <w:t>0.064550</w:t>
            </w:r>
          </w:p>
        </w:tc>
        <w:tc>
          <w:tcPr>
            <w:tcW w:type="dxa" w:w="1393"/>
          </w:tcPr>
          <w:p>
            <w:pPr>
              <w:spacing w:after="40"/>
            </w:pPr>
            <w:r>
              <w:rPr>
                <w:sz w:val="17"/>
              </w:rPr>
              <w:t>0.155456</w:t>
            </w:r>
          </w:p>
        </w:tc>
      </w:tr>
    </w:tbl>
    <w:p>
      <w:r>
        <w:t>Totals: D+=0.35295551, D−=0.76370815, C=0.68391959.</w:t>
      </w:r>
    </w:p>
    <w:p>
      <w:r>
        <w:t>For the demand criterion, shared bounds are 1 and 5: (3,4,5) becomes (0.5,0.75,1), then weight 0.2 gives (0.1,0.15,0.2). Its positive-ideal distance is √[((0.1−0.2)²+(0.15−0.2)²+(0.2−0.2)²)/3] = 0.06454972. Repeating for each criterion and summing gives the totals above; 0.76370815/(0.35295551+0.76370815) = 0.68391959. These calculations explain a synthetic result, not measured safety.</w:t>
      </w:r>
    </w:p>
    <w:p>
      <w:pPr>
        <w:pStyle w:val="Heading1"/>
      </w:pPr>
      <w:r>
        <w:t>Appendix C. Separate four-alternative teaching illustration</w:t>
      </w:r>
    </w:p>
    <w:p>
      <w:r>
        <w:t>The original hypothetical_demo.csv is a separate small teaching illustration; its invented rows are not part of the 28-candidate map-informed experiment. Its rankings are regenerated by the original demo pipeline and kept distinct.</w:t>
      </w:r>
    </w:p>
    <w:tbl>
      <w:tblPr>
        <w:tblStyle w:val="LightShading-Accent1"/>
        <w:tblW w:type="auto" w:w="0"/>
        <w:tblLook w:firstColumn="1" w:firstRow="1" w:lastColumn="0" w:lastRow="0" w:noHBand="0" w:noVBand="1" w:val="04A0"/>
      </w:tblPr>
      <w:tblGrid>
        <w:gridCol w:w="1625"/>
        <w:gridCol w:w="1625"/>
        <w:gridCol w:w="1625"/>
        <w:gridCol w:w="1625"/>
        <w:gridCol w:w="1625"/>
        <w:gridCol w:w="1625"/>
      </w:tblGrid>
      <w:tr>
        <w:trPr>
          <w:tblHeader/>
        </w:trPr>
        <w:tc>
          <w:tcPr>
            <w:tcW w:type="dxa" w:w="1625"/>
          </w:tcPr>
          <w:p>
            <w:pPr>
              <w:spacing w:after="40"/>
            </w:pPr>
            <w:r>
              <w:rPr>
                <w:sz w:val="17"/>
              </w:rPr>
              <w:t>ID</w:t>
            </w:r>
          </w:p>
        </w:tc>
        <w:tc>
          <w:tcPr>
            <w:tcW w:type="dxa" w:w="1625"/>
          </w:tcPr>
          <w:p>
            <w:pPr>
              <w:spacing w:after="40"/>
            </w:pPr>
            <w:r>
              <w:rPr>
                <w:sz w:val="17"/>
              </w:rPr>
              <w:t>4-criterion score</w:t>
            </w:r>
          </w:p>
        </w:tc>
        <w:tc>
          <w:tcPr>
            <w:tcW w:type="dxa" w:w="1625"/>
          </w:tcPr>
          <w:p>
            <w:pPr>
              <w:spacing w:after="40"/>
            </w:pPr>
            <w:r>
              <w:rPr>
                <w:sz w:val="17"/>
              </w:rPr>
              <w:t>4-criterion rank</w:t>
            </w:r>
          </w:p>
        </w:tc>
        <w:tc>
          <w:tcPr>
            <w:tcW w:type="dxa" w:w="1625"/>
          </w:tcPr>
          <w:p>
            <w:pPr>
              <w:spacing w:after="40"/>
            </w:pPr>
            <w:r>
              <w:rPr>
                <w:sz w:val="17"/>
              </w:rPr>
              <w:t>Crisp rank</w:t>
            </w:r>
          </w:p>
        </w:tc>
        <w:tc>
          <w:tcPr>
            <w:tcW w:type="dxa" w:w="1625"/>
          </w:tcPr>
          <w:p>
            <w:pPr>
              <w:spacing w:after="40"/>
            </w:pPr>
            <w:r>
              <w:rPr>
                <w:sz w:val="17"/>
              </w:rPr>
              <w:t>5-criterion score</w:t>
            </w:r>
          </w:p>
        </w:tc>
        <w:tc>
          <w:tcPr>
            <w:tcW w:type="dxa" w:w="1625"/>
          </w:tcPr>
          <w:p>
            <w:pPr>
              <w:spacing w:after="40"/>
            </w:pPr>
            <w:r>
              <w:rPr>
                <w:sz w:val="17"/>
              </w:rPr>
              <w:t>5-criterion rank</w:t>
            </w:r>
          </w:p>
        </w:tc>
      </w:tr>
      <w:tr>
        <w:tc>
          <w:tcPr>
            <w:tcW w:type="dxa" w:w="1625"/>
          </w:tcPr>
          <w:p>
            <w:pPr>
              <w:spacing w:after="40"/>
            </w:pPr>
            <w:r>
              <w:rPr>
                <w:sz w:val="17"/>
              </w:rPr>
              <w:t>HYP-A</w:t>
            </w:r>
          </w:p>
        </w:tc>
        <w:tc>
          <w:tcPr>
            <w:tcW w:type="dxa" w:w="1625"/>
          </w:tcPr>
          <w:p>
            <w:pPr>
              <w:spacing w:after="40"/>
            </w:pPr>
            <w:r>
              <w:rPr>
                <w:sz w:val="17"/>
              </w:rPr>
              <w:t>0.595646</w:t>
            </w:r>
          </w:p>
        </w:tc>
        <w:tc>
          <w:tcPr>
            <w:tcW w:type="dxa" w:w="1625"/>
          </w:tcPr>
          <w:p>
            <w:pPr>
              <w:spacing w:after="40"/>
            </w:pPr>
            <w:r>
              <w:rPr>
                <w:sz w:val="17"/>
              </w:rPr>
              <w:t>1</w:t>
            </w:r>
          </w:p>
        </w:tc>
        <w:tc>
          <w:tcPr>
            <w:tcW w:type="dxa" w:w="1625"/>
          </w:tcPr>
          <w:p>
            <w:pPr>
              <w:spacing w:after="40"/>
            </w:pPr>
            <w:r>
              <w:rPr>
                <w:sz w:val="17"/>
              </w:rPr>
              <w:t>1</w:t>
            </w:r>
          </w:p>
        </w:tc>
        <w:tc>
          <w:tcPr>
            <w:tcW w:type="dxa" w:w="1625"/>
          </w:tcPr>
          <w:p>
            <w:pPr>
              <w:spacing w:after="40"/>
            </w:pPr>
            <w:r>
              <w:rPr>
                <w:sz w:val="17"/>
              </w:rPr>
              <w:t>0.565904</w:t>
            </w:r>
          </w:p>
        </w:tc>
        <w:tc>
          <w:tcPr>
            <w:tcW w:type="dxa" w:w="1625"/>
          </w:tcPr>
          <w:p>
            <w:pPr>
              <w:spacing w:after="40"/>
            </w:pPr>
            <w:r>
              <w:rPr>
                <w:sz w:val="17"/>
              </w:rPr>
              <w:t>2</w:t>
            </w:r>
          </w:p>
        </w:tc>
      </w:tr>
      <w:tr>
        <w:tc>
          <w:tcPr>
            <w:tcW w:type="dxa" w:w="1625"/>
          </w:tcPr>
          <w:p>
            <w:pPr>
              <w:spacing w:after="40"/>
            </w:pPr>
            <w:r>
              <w:rPr>
                <w:sz w:val="17"/>
              </w:rPr>
              <w:t>HYP-B</w:t>
            </w:r>
          </w:p>
        </w:tc>
        <w:tc>
          <w:tcPr>
            <w:tcW w:type="dxa" w:w="1625"/>
          </w:tcPr>
          <w:p>
            <w:pPr>
              <w:spacing w:after="40"/>
            </w:pPr>
            <w:r>
              <w:rPr>
                <w:sz w:val="17"/>
              </w:rPr>
              <w:t>0.561219</w:t>
            </w:r>
          </w:p>
        </w:tc>
        <w:tc>
          <w:tcPr>
            <w:tcW w:type="dxa" w:w="1625"/>
          </w:tcPr>
          <w:p>
            <w:pPr>
              <w:spacing w:after="40"/>
            </w:pPr>
            <w:r>
              <w:rPr>
                <w:sz w:val="17"/>
              </w:rPr>
              <w:t>2</w:t>
            </w:r>
          </w:p>
        </w:tc>
        <w:tc>
          <w:tcPr>
            <w:tcW w:type="dxa" w:w="1625"/>
          </w:tcPr>
          <w:p>
            <w:pPr>
              <w:spacing w:after="40"/>
            </w:pPr>
            <w:r>
              <w:rPr>
                <w:sz w:val="17"/>
              </w:rPr>
              <w:t>2</w:t>
            </w:r>
          </w:p>
        </w:tc>
        <w:tc>
          <w:tcPr>
            <w:tcW w:type="dxa" w:w="1625"/>
          </w:tcPr>
          <w:p>
            <w:pPr>
              <w:spacing w:after="40"/>
            </w:pPr>
            <w:r>
              <w:rPr>
                <w:sz w:val="17"/>
              </w:rPr>
              <w:t>0.559114</w:t>
            </w:r>
          </w:p>
        </w:tc>
        <w:tc>
          <w:tcPr>
            <w:tcW w:type="dxa" w:w="1625"/>
          </w:tcPr>
          <w:p>
            <w:pPr>
              <w:spacing w:after="40"/>
            </w:pPr>
            <w:r>
              <w:rPr>
                <w:sz w:val="17"/>
              </w:rPr>
              <w:t>3</w:t>
            </w:r>
          </w:p>
        </w:tc>
      </w:tr>
      <w:tr>
        <w:tc>
          <w:tcPr>
            <w:tcW w:type="dxa" w:w="1625"/>
          </w:tcPr>
          <w:p>
            <w:pPr>
              <w:spacing w:after="40"/>
            </w:pPr>
            <w:r>
              <w:rPr>
                <w:sz w:val="17"/>
              </w:rPr>
              <w:t>HYP-C</w:t>
            </w:r>
          </w:p>
        </w:tc>
        <w:tc>
          <w:tcPr>
            <w:tcW w:type="dxa" w:w="1625"/>
          </w:tcPr>
          <w:p>
            <w:pPr>
              <w:spacing w:after="40"/>
            </w:pPr>
            <w:r>
              <w:rPr>
                <w:sz w:val="17"/>
              </w:rPr>
              <w:t>0.505106</w:t>
            </w:r>
          </w:p>
        </w:tc>
        <w:tc>
          <w:tcPr>
            <w:tcW w:type="dxa" w:w="1625"/>
          </w:tcPr>
          <w:p>
            <w:pPr>
              <w:spacing w:after="40"/>
            </w:pPr>
            <w:r>
              <w:rPr>
                <w:sz w:val="17"/>
              </w:rPr>
              <w:t>4</w:t>
            </w:r>
          </w:p>
        </w:tc>
        <w:tc>
          <w:tcPr>
            <w:tcW w:type="dxa" w:w="1625"/>
          </w:tcPr>
          <w:p>
            <w:pPr>
              <w:spacing w:after="40"/>
            </w:pPr>
            <w:r>
              <w:rPr>
                <w:sz w:val="17"/>
              </w:rPr>
              <w:t>2</w:t>
            </w:r>
          </w:p>
        </w:tc>
        <w:tc>
          <w:tcPr>
            <w:tcW w:type="dxa" w:w="1625"/>
          </w:tcPr>
          <w:p>
            <w:pPr>
              <w:spacing w:after="40"/>
            </w:pPr>
            <w:r>
              <w:rPr>
                <w:sz w:val="17"/>
              </w:rPr>
              <w:t>0.570867</w:t>
            </w:r>
          </w:p>
        </w:tc>
        <w:tc>
          <w:tcPr>
            <w:tcW w:type="dxa" w:w="1625"/>
          </w:tcPr>
          <w:p>
            <w:pPr>
              <w:spacing w:after="40"/>
            </w:pPr>
            <w:r>
              <w:rPr>
                <w:sz w:val="17"/>
              </w:rPr>
              <w:t>1</w:t>
            </w:r>
          </w:p>
        </w:tc>
      </w:tr>
      <w:tr>
        <w:tc>
          <w:tcPr>
            <w:tcW w:type="dxa" w:w="1625"/>
          </w:tcPr>
          <w:p>
            <w:pPr>
              <w:spacing w:after="40"/>
            </w:pPr>
            <w:r>
              <w:rPr>
                <w:sz w:val="17"/>
              </w:rPr>
              <w:t>HYP-D</w:t>
            </w:r>
          </w:p>
        </w:tc>
        <w:tc>
          <w:tcPr>
            <w:tcW w:type="dxa" w:w="1625"/>
          </w:tcPr>
          <w:p>
            <w:pPr>
              <w:spacing w:after="40"/>
            </w:pPr>
            <w:r>
              <w:rPr>
                <w:sz w:val="17"/>
              </w:rPr>
              <w:t>0.559763</w:t>
            </w:r>
          </w:p>
        </w:tc>
        <w:tc>
          <w:tcPr>
            <w:tcW w:type="dxa" w:w="1625"/>
          </w:tcPr>
          <w:p>
            <w:pPr>
              <w:spacing w:after="40"/>
            </w:pPr>
            <w:r>
              <w:rPr>
                <w:sz w:val="17"/>
              </w:rPr>
              <w:t>3</w:t>
            </w:r>
          </w:p>
        </w:tc>
        <w:tc>
          <w:tcPr>
            <w:tcW w:type="dxa" w:w="1625"/>
          </w:tcPr>
          <w:p>
            <w:pPr>
              <w:spacing w:after="40"/>
            </w:pPr>
            <w:r>
              <w:rPr>
                <w:sz w:val="17"/>
              </w:rPr>
              <w:t>4</w:t>
            </w:r>
          </w:p>
        </w:tc>
        <w:tc>
          <w:tcPr>
            <w:tcW w:type="dxa" w:w="1625"/>
          </w:tcPr>
          <w:p>
            <w:pPr>
              <w:spacing w:after="40"/>
            </w:pPr>
            <w:r>
              <w:rPr>
                <w:sz w:val="17"/>
              </w:rPr>
              <w:t>0.498248</w:t>
            </w:r>
          </w:p>
        </w:tc>
        <w:tc>
          <w:tcPr>
            <w:tcW w:type="dxa" w:w="1625"/>
          </w:tcPr>
          <w:p>
            <w:pPr>
              <w:spacing w:after="40"/>
            </w:pPr>
            <w:r>
              <w:rPr>
                <w:sz w:val="17"/>
              </w:rPr>
              <w:t>4</w:t>
            </w:r>
          </w:p>
        </w:tc>
      </w:tr>
    </w:tbl>
    <w:p>
      <w:r>
        <w:t>The four criteria are pedestrian demand, vehicle exposure, accessibility deficiency, and control/visibility deficiency; the five-criterion extension adds essential-destination access. Unlike the main 1–5 dataset, the original example uses invented hourly rates and 0–3 audit ratings, normalized within its own four rows. Raw triples remain in data/hypothetical_demo.csv. HYP-C moves from fourth to first after E1 is added, illustrating rank reversal; this does not validate the larger experiment. Scores from the two candidate sets are not directly comparable.</w:t>
      </w:r>
    </w:p>
    <w:p>
      <w:pPr>
        <w:pStyle w:val="Heading1"/>
      </w:pPr>
      <w:r>
        <w:t>Appendix D. Reproduction</w:t>
      </w:r>
    </w:p>
    <w:p>
      <w:r>
        <w:t>From the repository root, generate the map-informed synthetic CSV with python scripts/build_synthetic_dataset.py; run the synthetic-input CLI using the documented command in README.md and its dedicated synthetic output directory; then run python scripts/build_report.py. The report builder invokes scripts/evaluate_report.py and writes reports/evaluation/summary.json plus reports/report_figures/weight_top1_sensitivity.png. The four-row demo remains separately available through python src/run_project.py --demo. Do not use either synthetic dataset as field input. See reports/synthetic_data_methodology.md and data/source_inventory.csv for exact inputs, provenance, formulas, and limitations.</w:t>
      </w:r>
    </w:p>
    <w:sectPr w:rsidR="00FC693F" w:rsidRPr="0006063C" w:rsidSect="00034616">
      <w:footerReference w:type="default" r:id="rId10"/>
      <w:pgSz w:w="11909" w:h="16834"/>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47" w:lineRule="auto"/>
    </w:pPr>
    <w:rPr>
      <w:rFonts w:ascii="Times New Roman" w:hAnsi="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000000"/>
      <w:spacing w:val="5"/>
      <w:kern w:val="28"/>
      <w:sz w:val="3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Fuzzy TOPSIS Framework for Prioritising Pedestrian Crossing Safety and Accessibility Improvements</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