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using Ren’py, a popular visual novel engine, as a tool to enhance the user’s understanding of climate change. Using digital storytelling, as emphasized by Chen and Chuang (2019), will offer an engaging way to present even complex topics like global warming through narrative-driven learning, fostering a much deeper connection to the content. By utilizing Ren’py, this project's main goals are to create an interactive, visually rich experience, allowing the user to explore climate science concepts, effects, and mitigation strategies in a simulated environment.</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is the most if not one of the most pressing global challenges, driven by human activities that increase greenhouse gasses (GHG), as discussed by Al-Ghussain (2018). The interactive aspect of this project shall educate users on causes, impact, and solutions to climate change, aligning with Fawzy et al. (2020) findings on the importance of understanding strategies that are used to mitigate climate change. The user engages in scenarios reflecting real-world issues, such as radiative forcing and its role in global warming (Pincus et al. 2020) and the importance of stabilizing global temperatures (Hoegh-Guldberg el al., 2019).</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choices, interactive dialogue, and some minigames, the user confronts these decision-making, and problem solving processes regarding environmental policies, as stated by Poortinga et al. (2019) on the role of individual perceptions in climate change. As the user progresses through the storyline, the visual novel presents research-based findings, using real data to find the significance of reducing CO₂ and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and adopting sustainable practices (Giannelos et al., 2024). Furthermore, the project uses Ren’py’s accessible design features to create meaningful experiences, highlighting its capacity to support education content, as demonstrated by Consalvo and Staines (2020) and Ciesla (2019).</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positions digital storytelling as a very powerful method to demystify complex scientific data, making it more accessible and engaging for the general public, disregarding everything, whether if the user is young or old, woman or man or else, have science background or not, making this project very interesting. As listed by Wardana (2020) that have utilize Ren’py in teaching for high schools, merging narrative structure with educational content on climate change, the project not only educate the user on what is climate change and global warming, but also encourages them to adopt a sustainable behaviors, reinforcing the human imperative to respond to climate change challenges (IPCC, 2022).</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6">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Al‐Ghussain, L. (2018). Global warming: review on driving forces and mitigation. </w:t>
      </w:r>
      <w:r w:rsidDel="00000000" w:rsidR="00000000" w:rsidRPr="00000000">
        <w:rPr>
          <w:rFonts w:ascii="Times New Roman" w:cs="Times New Roman" w:eastAsia="Times New Roman" w:hAnsi="Times New Roman"/>
          <w:i w:val="1"/>
          <w:sz w:val="20"/>
          <w:szCs w:val="20"/>
          <w:rtl w:val="0"/>
        </w:rPr>
        <w:t xml:space="preserve">Environmental Progress &amp; Sustainable 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38</w:t>
      </w:r>
      <w:r w:rsidDel="00000000" w:rsidR="00000000" w:rsidRPr="00000000">
        <w:rPr>
          <w:rFonts w:ascii="Times New Roman" w:cs="Times New Roman" w:eastAsia="Times New Roman" w:hAnsi="Times New Roman"/>
          <w:sz w:val="20"/>
          <w:szCs w:val="20"/>
          <w:rtl w:val="0"/>
        </w:rPr>
        <w:t xml:space="preserve">(1), 13–21. https://doi.org/10.1002/ep.13041</w:t>
      </w:r>
    </w:p>
    <w:p w:rsidR="00000000" w:rsidDel="00000000" w:rsidP="00000000" w:rsidRDefault="00000000" w:rsidRPr="00000000" w14:paraId="00000007">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 P. O. C. (2023). </w:t>
      </w:r>
      <w:r w:rsidDel="00000000" w:rsidR="00000000" w:rsidRPr="00000000">
        <w:rPr>
          <w:rFonts w:ascii="Times New Roman" w:cs="Times New Roman" w:eastAsia="Times New Roman" w:hAnsi="Times New Roman"/>
          <w:i w:val="1"/>
          <w:sz w:val="20"/>
          <w:szCs w:val="20"/>
          <w:rtl w:val="0"/>
        </w:rPr>
        <w:t xml:space="preserve">Climate Change 2021 - The Physical science basis: Working Group I Contribution to the Sixth Assessment Report of the Intergovernmental Panel on Climate 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8">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H., &amp; Chuang, Y. (2019). USING REN’PY AS A DIGITAL STORYTELLING TOOL TO ENHANCE STUDENTS’ LEARNING. </w:t>
      </w:r>
      <w:r w:rsidDel="00000000" w:rsidR="00000000" w:rsidRPr="00000000">
        <w:rPr>
          <w:rFonts w:ascii="Times New Roman" w:cs="Times New Roman" w:eastAsia="Times New Roman" w:hAnsi="Times New Roman"/>
          <w:i w:val="1"/>
          <w:sz w:val="20"/>
          <w:szCs w:val="20"/>
          <w:rtl w:val="0"/>
        </w:rPr>
        <w:t xml:space="preserve">PROCEEDINGS OF THE INTERNATIONAL CONFERENCE</w:t>
      </w:r>
      <w:r w:rsidDel="00000000" w:rsidR="00000000" w:rsidRPr="00000000">
        <w:rPr>
          <w:rFonts w:ascii="Times New Roman" w:cs="Times New Roman" w:eastAsia="Times New Roman" w:hAnsi="Times New Roman"/>
          <w:sz w:val="20"/>
          <w:szCs w:val="20"/>
          <w:rtl w:val="0"/>
        </w:rPr>
        <w:t xml:space="preserve">, 352–354. https://doi.org/10.33965/el2019_201909p053</w:t>
      </w:r>
    </w:p>
    <w:p w:rsidR="00000000" w:rsidDel="00000000" w:rsidP="00000000" w:rsidRDefault="00000000" w:rsidRPr="00000000" w14:paraId="00000009">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Ciesla, R. (2019). Game Development with Ren’Py. In </w:t>
      </w:r>
      <w:r w:rsidDel="00000000" w:rsidR="00000000" w:rsidRPr="00000000">
        <w:rPr>
          <w:rFonts w:ascii="Times New Roman" w:cs="Times New Roman" w:eastAsia="Times New Roman" w:hAnsi="Times New Roman"/>
          <w:i w:val="1"/>
          <w:sz w:val="20"/>
          <w:szCs w:val="20"/>
          <w:rtl w:val="0"/>
        </w:rPr>
        <w:t xml:space="preserve">Apress eBooks</w:t>
      </w:r>
      <w:r w:rsidDel="00000000" w:rsidR="00000000" w:rsidRPr="00000000">
        <w:rPr>
          <w:rFonts w:ascii="Times New Roman" w:cs="Times New Roman" w:eastAsia="Times New Roman" w:hAnsi="Times New Roman"/>
          <w:sz w:val="20"/>
          <w:szCs w:val="20"/>
          <w:rtl w:val="0"/>
        </w:rPr>
        <w:t xml:space="preserve">. https://doi.org/10.1007/978-1-4842-4920-8</w:t>
      </w:r>
    </w:p>
    <w:p w:rsidR="00000000" w:rsidDel="00000000" w:rsidP="00000000" w:rsidRDefault="00000000" w:rsidRPr="00000000" w14:paraId="0000000A">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Consalvo, M., &amp; Staines, D. (2020). Reading Ren’Py: Game Engine Affordances and design Possibilities. </w:t>
      </w:r>
      <w:r w:rsidDel="00000000" w:rsidR="00000000" w:rsidRPr="00000000">
        <w:rPr>
          <w:rFonts w:ascii="Times New Roman" w:cs="Times New Roman" w:eastAsia="Times New Roman" w:hAnsi="Times New Roman"/>
          <w:i w:val="1"/>
          <w:sz w:val="20"/>
          <w:szCs w:val="20"/>
          <w:rtl w:val="0"/>
        </w:rPr>
        <w:t xml:space="preserve">Games and Culture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(6), 762–778. https://doi.org/10.1177/1555412020973823</w:t>
      </w:r>
    </w:p>
    <w:p w:rsidR="00000000" w:rsidDel="00000000" w:rsidP="00000000" w:rsidRDefault="00000000" w:rsidRPr="00000000" w14:paraId="0000000B">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Fawzy, S., Osman, A. I., Doran, J., &amp; Rooney, D. W. (2020). Strategies for mitigation of climate change: a review. </w:t>
      </w:r>
      <w:r w:rsidDel="00000000" w:rsidR="00000000" w:rsidRPr="00000000">
        <w:rPr>
          <w:rFonts w:ascii="Times New Roman" w:cs="Times New Roman" w:eastAsia="Times New Roman" w:hAnsi="Times New Roman"/>
          <w:i w:val="1"/>
          <w:sz w:val="20"/>
          <w:szCs w:val="20"/>
          <w:rtl w:val="0"/>
        </w:rPr>
        <w:t xml:space="preserve">Environmental Chemistry Letters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(6), 2069–2094. https://doi.org/10.1007/s10311-020-01059-w</w:t>
      </w:r>
    </w:p>
    <w:p w:rsidR="00000000" w:rsidDel="00000000" w:rsidP="00000000" w:rsidRDefault="00000000" w:rsidRPr="00000000" w14:paraId="0000000C">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Giannelos, S., Bellizio, F., Strbac, G., &amp; Zhang, T. (2024). Machine learning approaches for predictions of CO2 emissions in the building sector. </w:t>
      </w:r>
      <w:r w:rsidDel="00000000" w:rsidR="00000000" w:rsidRPr="00000000">
        <w:rPr>
          <w:rFonts w:ascii="Times New Roman" w:cs="Times New Roman" w:eastAsia="Times New Roman" w:hAnsi="Times New Roman"/>
          <w:i w:val="1"/>
          <w:sz w:val="20"/>
          <w:szCs w:val="20"/>
          <w:rtl w:val="0"/>
        </w:rPr>
        <w:t xml:space="preserve">Electric Power Systems 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235</w:t>
      </w:r>
      <w:r w:rsidDel="00000000" w:rsidR="00000000" w:rsidRPr="00000000">
        <w:rPr>
          <w:rFonts w:ascii="Times New Roman" w:cs="Times New Roman" w:eastAsia="Times New Roman" w:hAnsi="Times New Roman"/>
          <w:sz w:val="20"/>
          <w:szCs w:val="20"/>
          <w:rtl w:val="0"/>
        </w:rPr>
        <w:t xml:space="preserve">, 110735. https://doi.org/10.1016/j.epsr.2024.110735</w:t>
      </w:r>
    </w:p>
    <w:p w:rsidR="00000000" w:rsidDel="00000000" w:rsidP="00000000" w:rsidRDefault="00000000" w:rsidRPr="00000000" w14:paraId="0000000D">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Gunnemyr, M. (2019). Causing global warming. </w:t>
      </w:r>
      <w:r w:rsidDel="00000000" w:rsidR="00000000" w:rsidRPr="00000000">
        <w:rPr>
          <w:rFonts w:ascii="Times New Roman" w:cs="Times New Roman" w:eastAsia="Times New Roman" w:hAnsi="Times New Roman"/>
          <w:i w:val="1"/>
          <w:sz w:val="20"/>
          <w:szCs w:val="20"/>
          <w:rtl w:val="0"/>
        </w:rPr>
        <w:t xml:space="preserve">Ethical Theory and Moral Practice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22</w:t>
      </w:r>
      <w:r w:rsidDel="00000000" w:rsidR="00000000" w:rsidRPr="00000000">
        <w:rPr>
          <w:rFonts w:ascii="Times New Roman" w:cs="Times New Roman" w:eastAsia="Times New Roman" w:hAnsi="Times New Roman"/>
          <w:sz w:val="20"/>
          <w:szCs w:val="20"/>
          <w:rtl w:val="0"/>
        </w:rPr>
        <w:t xml:space="preserve">(2), 399–424. https://doi.org/10.1007/s10677-019-09990-w</w:t>
      </w:r>
    </w:p>
    <w:p w:rsidR="00000000" w:rsidDel="00000000" w:rsidP="00000000" w:rsidRDefault="00000000" w:rsidRPr="00000000" w14:paraId="0000000E">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Hoegh-Guldberg, O., Jacob, D., Taylor, M., Bolaños, T. G., Bindi, M., Brown, S., Camilloni, I. A., Diedhiou, A., Djalante, R., Ebi, K., Engelbrecht, F., Guiot, J., Hijioka, Y., Mehrotra, S., Hope, C. W., Payne, A. J., Pörtner, H., Seneviratne, S. I., Thomas, A., . . . Zhou, G. (2019). The human imperative of stabilizing global climate change at 1.5°C. </w:t>
      </w:r>
      <w:r w:rsidDel="00000000" w:rsidR="00000000" w:rsidRPr="00000000">
        <w:rPr>
          <w:rFonts w:ascii="Times New Roman" w:cs="Times New Roman" w:eastAsia="Times New Roman" w:hAnsi="Times New Roman"/>
          <w:i w:val="1"/>
          <w:sz w:val="20"/>
          <w:szCs w:val="20"/>
          <w:rtl w:val="0"/>
        </w:rPr>
        <w:t xml:space="preserve">Science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365</w:t>
      </w:r>
      <w:r w:rsidDel="00000000" w:rsidR="00000000" w:rsidRPr="00000000">
        <w:rPr>
          <w:rFonts w:ascii="Times New Roman" w:cs="Times New Roman" w:eastAsia="Times New Roman" w:hAnsi="Times New Roman"/>
          <w:sz w:val="20"/>
          <w:szCs w:val="20"/>
          <w:rtl w:val="0"/>
        </w:rPr>
        <w:t xml:space="preserve">(6459). https://doi.org/10.1126/science.aaw6974</w:t>
      </w:r>
    </w:p>
    <w:p w:rsidR="00000000" w:rsidDel="00000000" w:rsidP="00000000" w:rsidRDefault="00000000" w:rsidRPr="00000000" w14:paraId="0000000F">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Ipcc. (2022). </w:t>
      </w:r>
      <w:r w:rsidDel="00000000" w:rsidR="00000000" w:rsidRPr="00000000">
        <w:rPr>
          <w:rFonts w:ascii="Times New Roman" w:cs="Times New Roman" w:eastAsia="Times New Roman" w:hAnsi="Times New Roman"/>
          <w:i w:val="1"/>
          <w:sz w:val="20"/>
          <w:szCs w:val="20"/>
          <w:rtl w:val="0"/>
        </w:rPr>
        <w:t xml:space="preserve">Global warming of 1.5°C: IPCC Special Report on Impacts of Global Warming of 1.5°C above Pre-industrial Levels in Context of Strengthening Response to Climate Change, Sustainable Development, and Efforts to Eradicate Poverty</w:t>
      </w:r>
      <w:r w:rsidDel="00000000" w:rsidR="00000000" w:rsidRPr="00000000">
        <w:rPr>
          <w:rFonts w:ascii="Times New Roman" w:cs="Times New Roman" w:eastAsia="Times New Roman" w:hAnsi="Times New Roman"/>
          <w:sz w:val="20"/>
          <w:szCs w:val="20"/>
          <w:rtl w:val="0"/>
        </w:rPr>
        <w:t xml:space="preserve">. Cambridge University Press.</w:t>
      </w:r>
    </w:p>
    <w:p w:rsidR="00000000" w:rsidDel="00000000" w:rsidP="00000000" w:rsidRDefault="00000000" w:rsidRPr="00000000" w14:paraId="00000010">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Pincus, R., Buehler, S. A., Brath, M., Crevoisier, C., Jamil, O., Evans, K. F., Manners, J., Menzel, R. L., Mlawer, E. J., Paynter, D., Pernak, R. L., &amp; Tellier, Y. (2020). Benchmark calculations of radiative forcing by greenhouse gases. </w:t>
      </w:r>
      <w:r w:rsidDel="00000000" w:rsidR="00000000" w:rsidRPr="00000000">
        <w:rPr>
          <w:rFonts w:ascii="Times New Roman" w:cs="Times New Roman" w:eastAsia="Times New Roman" w:hAnsi="Times New Roman"/>
          <w:i w:val="1"/>
          <w:sz w:val="20"/>
          <w:szCs w:val="20"/>
          <w:rtl w:val="0"/>
        </w:rPr>
        <w:t xml:space="preserve">Journal of Geophysical Research Atmospheres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125</w:t>
      </w:r>
      <w:r w:rsidDel="00000000" w:rsidR="00000000" w:rsidRPr="00000000">
        <w:rPr>
          <w:rFonts w:ascii="Times New Roman" w:cs="Times New Roman" w:eastAsia="Times New Roman" w:hAnsi="Times New Roman"/>
          <w:sz w:val="20"/>
          <w:szCs w:val="20"/>
          <w:rtl w:val="0"/>
        </w:rPr>
        <w:t xml:space="preserve">(23). https://doi.org/10.1029/2020jd033483</w:t>
      </w:r>
    </w:p>
    <w:p w:rsidR="00000000" w:rsidDel="00000000" w:rsidP="00000000" w:rsidRDefault="00000000" w:rsidRPr="00000000" w14:paraId="00000011">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Poortinga, W., Whitmarsh, L., Steg, L., Böhm, G., &amp; Fisher, S. (2019). Climate change perceptions and their individual-level determinants: A cross-European analysis. </w:t>
      </w:r>
      <w:r w:rsidDel="00000000" w:rsidR="00000000" w:rsidRPr="00000000">
        <w:rPr>
          <w:rFonts w:ascii="Times New Roman" w:cs="Times New Roman" w:eastAsia="Times New Roman" w:hAnsi="Times New Roman"/>
          <w:i w:val="1"/>
          <w:sz w:val="20"/>
          <w:szCs w:val="20"/>
          <w:rtl w:val="0"/>
        </w:rPr>
        <w:t xml:space="preserve">Global Environmental Change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55</w:t>
      </w:r>
      <w:r w:rsidDel="00000000" w:rsidR="00000000" w:rsidRPr="00000000">
        <w:rPr>
          <w:rFonts w:ascii="Times New Roman" w:cs="Times New Roman" w:eastAsia="Times New Roman" w:hAnsi="Times New Roman"/>
          <w:sz w:val="20"/>
          <w:szCs w:val="20"/>
          <w:rtl w:val="0"/>
        </w:rPr>
        <w:t xml:space="preserve">, 25–35. https://doi.org/10.1016/j.gloenvcha.2019.01.007</w:t>
      </w:r>
    </w:p>
    <w:p w:rsidR="00000000" w:rsidDel="00000000" w:rsidP="00000000" w:rsidRDefault="00000000" w:rsidRPr="00000000" w14:paraId="00000012">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Ramanswamy, V., Shine, K., Leovy, C., Wang, W., Rodhe, H., Wuebbles, D. J., Ding, M., Lelieveld, J., Edmonds, J. A., &amp; Mccormick, M. P. (1991). Radiative forcing of climate. </w:t>
      </w:r>
      <w:r w:rsidDel="00000000" w:rsidR="00000000" w:rsidRPr="00000000">
        <w:rPr>
          <w:rFonts w:ascii="Times New Roman" w:cs="Times New Roman" w:eastAsia="Times New Roman" w:hAnsi="Times New Roman"/>
          <w:i w:val="1"/>
          <w:sz w:val="20"/>
          <w:szCs w:val="20"/>
          <w:rtl w:val="0"/>
        </w:rPr>
        <w:t xml:space="preserve">Climate Change: The IPCC Scientific Assessment</w:t>
      </w:r>
      <w:r w:rsidDel="00000000" w:rsidR="00000000" w:rsidRPr="00000000">
        <w:rPr>
          <w:rFonts w:ascii="Times New Roman" w:cs="Times New Roman" w:eastAsia="Times New Roman" w:hAnsi="Times New Roman"/>
          <w:sz w:val="20"/>
          <w:szCs w:val="20"/>
          <w:rtl w:val="0"/>
        </w:rPr>
        <w:t xml:space="preserve">, 41–68. https://ntrs.nasa.gov/api/citations/19930001906/downloads/19930001906.pdf</w:t>
      </w:r>
    </w:p>
    <w:p w:rsidR="00000000" w:rsidDel="00000000" w:rsidP="00000000" w:rsidRDefault="00000000" w:rsidRPr="00000000" w14:paraId="00000013">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Ramaswamy, V., Collins, W., Haywood, J., Lean, J., Mahowald, N., Myhre, G., Naik, V., Shine, K. P., Soden, B., Stenchikov, G., &amp; Storelvmo, T. (2019). Radiative Forcing of Climate: The Historical Evolution of the Radiative Forcing Concept, the Forcing Agents and their Quantification, and Applications. </w:t>
      </w:r>
      <w:r w:rsidDel="00000000" w:rsidR="00000000" w:rsidRPr="00000000">
        <w:rPr>
          <w:rFonts w:ascii="Times New Roman" w:cs="Times New Roman" w:eastAsia="Times New Roman" w:hAnsi="Times New Roman"/>
          <w:i w:val="1"/>
          <w:sz w:val="20"/>
          <w:szCs w:val="20"/>
          <w:rtl w:val="0"/>
        </w:rPr>
        <w:t xml:space="preserve">Meteorological Monographs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59</w:t>
      </w:r>
      <w:r w:rsidDel="00000000" w:rsidR="00000000" w:rsidRPr="00000000">
        <w:rPr>
          <w:rFonts w:ascii="Times New Roman" w:cs="Times New Roman" w:eastAsia="Times New Roman" w:hAnsi="Times New Roman"/>
          <w:sz w:val="20"/>
          <w:szCs w:val="20"/>
          <w:rtl w:val="0"/>
        </w:rPr>
        <w:t xml:space="preserve">, 14.1-14.101. https://doi.org/10.1175/amsmonographs-d-19-0001.1</w:t>
      </w:r>
    </w:p>
    <w:p w:rsidR="00000000" w:rsidDel="00000000" w:rsidP="00000000" w:rsidRDefault="00000000" w:rsidRPr="00000000" w14:paraId="00000014">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Rugenstein, M., Bloch‐Johnson, J., Gregory, J., Andrews, T., Mauritsen, T., Li, C., Frölicher, T. L., Paynter, D., Danabasoglu, G., Yang, S., Dufresne, J., Cao, L., Schmidt, G. A., Abe‐Ouchi, A., Geoffroy, O., &amp; Knutti, R. (2019). Equilibrium climate sensitivity estimated by equilibrating climate models. </w:t>
      </w:r>
      <w:r w:rsidDel="00000000" w:rsidR="00000000" w:rsidRPr="00000000">
        <w:rPr>
          <w:rFonts w:ascii="Times New Roman" w:cs="Times New Roman" w:eastAsia="Times New Roman" w:hAnsi="Times New Roman"/>
          <w:i w:val="1"/>
          <w:sz w:val="20"/>
          <w:szCs w:val="20"/>
          <w:rtl w:val="0"/>
        </w:rPr>
        <w:t xml:space="preserve">Geophysical Research Letters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47</w:t>
      </w:r>
      <w:r w:rsidDel="00000000" w:rsidR="00000000" w:rsidRPr="00000000">
        <w:rPr>
          <w:rFonts w:ascii="Times New Roman" w:cs="Times New Roman" w:eastAsia="Times New Roman" w:hAnsi="Times New Roman"/>
          <w:sz w:val="20"/>
          <w:szCs w:val="20"/>
          <w:rtl w:val="0"/>
        </w:rPr>
        <w:t xml:space="preserve">(4). https://doi.org/10.1029/2019gl083898</w:t>
      </w:r>
    </w:p>
    <w:p w:rsidR="00000000" w:rsidDel="00000000" w:rsidP="00000000" w:rsidRDefault="00000000" w:rsidRPr="00000000" w14:paraId="00000015">
      <w:pPr>
        <w:spacing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Sherwood, S. C., Webb, M. J., Annan, J. D., Armour, K. C., Forster, P. M., Hargreaves, J. C., Hegerl, G., Klein, S. A., Marvel, K. D., Rohling, E. J., Watanabe, M., Andrews, T., Braconnot, P., Bretherton, C. S., Foster, G. L., Hausfather, Z., Von Der Heydt, A. S., Knutti, R., Mauritsen, T., . . . Zelinka, M. D. (2020). An assessment of Earth’s climate sensitivity using multiple lines of evidence. </w:t>
      </w:r>
      <w:r w:rsidDel="00000000" w:rsidR="00000000" w:rsidRPr="00000000">
        <w:rPr>
          <w:rFonts w:ascii="Times New Roman" w:cs="Times New Roman" w:eastAsia="Times New Roman" w:hAnsi="Times New Roman"/>
          <w:i w:val="1"/>
          <w:sz w:val="20"/>
          <w:szCs w:val="20"/>
          <w:rtl w:val="0"/>
        </w:rPr>
        <w:t xml:space="preserve">Reviews of Geophysics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58</w:t>
      </w:r>
      <w:r w:rsidDel="00000000" w:rsidR="00000000" w:rsidRPr="00000000">
        <w:rPr>
          <w:rFonts w:ascii="Times New Roman" w:cs="Times New Roman" w:eastAsia="Times New Roman" w:hAnsi="Times New Roman"/>
          <w:sz w:val="20"/>
          <w:szCs w:val="20"/>
          <w:rtl w:val="0"/>
        </w:rPr>
        <w:t xml:space="preserve">(4). https://doi.org/10.1029/2019rg000678</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