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0EA5E9"/>
          <w:sz w:val="20"/>
          <w:szCs w:val="20"/>
        </w:rPr>
        <w:t xml:space="preserve">BRAINSAIT ACADEMY</w:t>
      </w:r>
    </w:p>
    <w:p>
      <w:pPr>
        <w:spacing w:after="120"/>
      </w:pPr>
      <w:r>
        <w:rPr>
          <w:rFonts w:ascii="Arial" w:cs="Arial" w:eastAsia="Arial" w:hAnsi="Arial"/>
          <w:b/>
          <w:bCs/>
          <w:color w:val="1A365D"/>
          <w:sz w:val="52"/>
          <w:szCs w:val="52"/>
        </w:rPr>
        <w:t xml:space="preserve">Unified Training Hub</w:t>
      </w:r>
    </w:p>
    <w:p>
      <w:pPr>
        <w:spacing w:after="80"/>
      </w:pPr>
      <w:r>
        <w:rPr>
          <w:rFonts w:ascii="Arial" w:cs="Arial" w:eastAsia="Arial" w:hAnsi="Arial"/>
          <w:color w:val="64748B"/>
          <w:sz w:val="20"/>
          <w:szCs w:val="20"/>
        </w:rPr>
        <w:t xml:space="preserve">Course Content Blueprint — Extracted for Academy Rebuild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pPr>
              <w:spacing w:after="120"/>
            </w:pPr>
            <w:r>
              <w:rPr>
                <w:rFonts w:ascii="Arial" w:cs="Arial" w:eastAsia="Arial" w:hAnsi="Arial"/>
                <w:b/>
                <w:bCs/>
                <w:caps/>
                <w:color w:val="64748B"/>
                <w:sz w:val="18"/>
                <w:szCs w:val="18"/>
              </w:rPr>
              <w:t xml:space="preserve">Platform</w:t>
            </w:r>
          </w:p>
        </w:tc>
        <w:tc>
          <w:tcPr>
            <w:tcW w:type="dxa" w:w="70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0"/>
                <w:szCs w:val="20"/>
              </w:rPr>
              <w:t xml:space="preserve">academy.brainsait.org</w:t>
            </w:r>
          </w:p>
        </w:tc>
      </w:tr>
      <w:tr>
        <w:tc>
          <w:tcPr>
            <w:tcW w:type="dxa" w:w="23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pPr>
              <w:spacing w:after="120"/>
            </w:pPr>
            <w:r>
              <w:rPr>
                <w:rFonts w:ascii="Arial" w:cs="Arial" w:eastAsia="Arial" w:hAnsi="Arial"/>
                <w:b/>
                <w:bCs/>
                <w:caps/>
                <w:color w:val="64748B"/>
                <w:sz w:val="18"/>
                <w:szCs w:val="18"/>
              </w:rPr>
              <w:t xml:space="preserve">Source</w:t>
            </w:r>
          </w:p>
        </w:tc>
        <w:tc>
          <w:tcPr>
            <w:tcW w:type="dxa" w:w="70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0"/>
                <w:szCs w:val="20"/>
              </w:rPr>
              <w:t xml:space="preserve">brainsait.org/training (Unified BrainSAIT Training Hub)</w:t>
            </w:r>
          </w:p>
        </w:tc>
      </w:tr>
      <w:tr>
        <w:tc>
          <w:tcPr>
            <w:tcW w:type="dxa" w:w="23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pPr>
              <w:spacing w:after="120"/>
            </w:pPr>
            <w:r>
              <w:rPr>
                <w:rFonts w:ascii="Arial" w:cs="Arial" w:eastAsia="Arial" w:hAnsi="Arial"/>
                <w:b/>
                <w:bCs/>
                <w:caps/>
                <w:color w:val="64748B"/>
                <w:sz w:val="18"/>
                <w:szCs w:val="18"/>
              </w:rPr>
              <w:t xml:space="preserve">Instructor</w:t>
            </w:r>
          </w:p>
        </w:tc>
        <w:tc>
          <w:tcPr>
            <w:tcW w:type="dxa" w:w="70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0"/>
                <w:szCs w:val="20"/>
              </w:rPr>
              <w:t xml:space="preserve">Dr. Mohamed El Fadil — Physician, Tech Entrepreneur, Founder</w:t>
            </w:r>
          </w:p>
        </w:tc>
      </w:tr>
      <w:tr>
        <w:tc>
          <w:tcPr>
            <w:tcW w:type="dxa" w:w="23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pPr>
              <w:spacing w:after="120"/>
            </w:pPr>
            <w:r>
              <w:rPr>
                <w:rFonts w:ascii="Arial" w:cs="Arial" w:eastAsia="Arial" w:hAnsi="Arial"/>
                <w:b/>
                <w:bCs/>
                <w:caps/>
                <w:color w:val="64748B"/>
                <w:sz w:val="18"/>
                <w:szCs w:val="18"/>
              </w:rPr>
              <w:t xml:space="preserve">Organisation</w:t>
            </w:r>
          </w:p>
        </w:tc>
        <w:tc>
          <w:tcPr>
            <w:tcW w:type="dxa" w:w="70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0"/>
                <w:szCs w:val="20"/>
              </w:rPr>
              <w:t xml:space="preserve">BRAINSAIT LTD · Riyadh, Saudi Arabia</w:t>
            </w:r>
          </w:p>
        </w:tc>
      </w:tr>
      <w:tr>
        <w:tc>
          <w:tcPr>
            <w:tcW w:type="dxa" w:w="23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pPr>
              <w:spacing w:after="120"/>
            </w:pPr>
            <w:r>
              <w:rPr>
                <w:rFonts w:ascii="Arial" w:cs="Arial" w:eastAsia="Arial" w:hAnsi="Arial"/>
                <w:b/>
                <w:bCs/>
                <w:caps/>
                <w:color w:val="64748B"/>
                <w:sz w:val="18"/>
                <w:szCs w:val="18"/>
              </w:rPr>
              <w:t xml:space="preserve">Total Courses</w:t>
            </w:r>
          </w:p>
        </w:tc>
        <w:tc>
          <w:tcPr>
            <w:tcW w:type="dxa" w:w="70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0"/>
                <w:szCs w:val="20"/>
              </w:rPr>
              <w:t xml:space="preserve">2 (Collective Brainpower + NPHIES-AI Mastery)</w:t>
            </w:r>
          </w:p>
        </w:tc>
      </w:tr>
      <w:tr>
        <w:tc>
          <w:tcPr>
            <w:tcW w:type="dxa" w:w="23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pPr>
              <w:spacing w:after="120"/>
            </w:pPr>
            <w:r>
              <w:rPr>
                <w:rFonts w:ascii="Arial" w:cs="Arial" w:eastAsia="Arial" w:hAnsi="Arial"/>
                <w:b/>
                <w:bCs/>
                <w:caps/>
                <w:color w:val="64748B"/>
                <w:sz w:val="18"/>
                <w:szCs w:val="18"/>
              </w:rPr>
              <w:t xml:space="preserve">Document Date</w:t>
            </w:r>
          </w:p>
        </w:tc>
        <w:tc>
          <w:tcPr>
            <w:tcW w:type="dxa" w:w="70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0"/>
                <w:szCs w:val="20"/>
              </w:rPr>
              <w:t xml:space="preserve">May 2026</w:t>
            </w:r>
          </w:p>
        </w:tc>
      </w:tr>
    </w:tbl>
    <w:p>
      <w:pPr>
        <w:spacing w:after="60"/>
      </w:pPr>
    </w:p>
    <w:p>
      <w:pPr>
        <w:spacing w:after="60"/>
      </w:pPr>
    </w:p>
    <w:p>
      <w:pPr>
        <w:pBdr>
          <w:bottom w:val="single" w:color="F1F5F9" w:sz="2" w:space="4"/>
        </w:pBdr>
        <w:spacing w:after="200" w:before="200"/>
      </w:pPr>
    </w:p>
    <w:p>
      <w:pPr>
        <w:pStyle w:val="Heading1"/>
        <w:pBdr>
          <w:bottom w:val="single" w:color="0EA5E9" w:sz="4" w:space="4"/>
        </w:pBdr>
        <w:spacing w:after="200" w:before="480"/>
      </w:pPr>
      <w:r>
        <w:rPr>
          <w:rFonts w:ascii="Arial" w:cs="Arial" w:eastAsia="Arial" w:hAnsi="Arial"/>
          <w:b/>
          <w:bCs/>
          <w:color w:val="1A365D"/>
          <w:sz w:val="36"/>
          <w:szCs w:val="36"/>
        </w:rPr>
        <w:t xml:space="preserve">Part 1 — Training Hub Overview</w:t>
      </w:r>
    </w:p>
    <w:p>
      <w:pPr>
        <w:pStyle w:val="Heading2"/>
        <w:spacing w:after="160" w:before="360"/>
      </w:pPr>
      <w:r>
        <w:rPr>
          <w:rFonts w:ascii="Arial" w:cs="Arial" w:eastAsia="Arial" w:hAnsi="Arial"/>
          <w:b/>
          <w:bCs/>
          <w:color w:val="2B6CB8"/>
          <w:sz w:val="28"/>
          <w:szCs w:val="28"/>
        </w:rPr>
        <w:t xml:space="preserve">Hub Identity</w:t>
      </w:r>
    </w:p>
    <w:p>
      <w:pPr>
        <w:spacing w:after="120"/>
      </w:pPr>
      <w:r>
        <w:rPr>
          <w:rFonts w:ascii="Arial" w:cs="Arial" w:eastAsia="Arial" w:hAnsi="Arial"/>
          <w:b/>
          <w:bCs/>
          <w:color w:val="1A365D"/>
          <w:sz w:val="20"/>
          <w:szCs w:val="20"/>
        </w:rPr>
        <w:t xml:space="preserve">Title: </w:t>
      </w:r>
      <w:r>
        <w:rPr>
          <w:rFonts w:ascii="Arial" w:cs="Arial" w:eastAsia="Arial" w:hAnsi="Arial"/>
          <w:color w:val="333333"/>
          <w:sz w:val="20"/>
          <w:szCs w:val="20"/>
        </w:rPr>
        <w:t xml:space="preserve">BrainSAIT Training Hub | Healthcare, Tech &amp; AI Courses</w:t>
      </w:r>
    </w:p>
    <w:p>
      <w:pPr>
        <w:spacing w:after="120"/>
      </w:pPr>
      <w:r>
        <w:rPr>
          <w:rFonts w:ascii="Arial" w:cs="Arial" w:eastAsia="Arial" w:hAnsi="Arial"/>
          <w:b/>
          <w:bCs/>
          <w:color w:val="1A365D"/>
          <w:sz w:val="20"/>
          <w:szCs w:val="20"/>
        </w:rPr>
        <w:t xml:space="preserve">Meta description: </w:t>
      </w:r>
      <w:r>
        <w:rPr>
          <w:rFonts w:ascii="Arial" w:cs="Arial" w:eastAsia="Arial" w:hAnsi="Arial"/>
          <w:color w:val="333333"/>
          <w:sz w:val="20"/>
          <w:szCs w:val="20"/>
        </w:rPr>
        <w:t xml:space="preserve">Explore BrainSAIT cohort-based training for healthcare founders, operators, and AI transformation teams.</w:t>
      </w:r>
    </w:p>
    <w:p>
      <w:pPr>
        <w:spacing w:after="120"/>
      </w:pPr>
      <w:r>
        <w:rPr>
          <w:rFonts w:ascii="Arial" w:cs="Arial" w:eastAsia="Arial" w:hAnsi="Arial"/>
          <w:b/>
          <w:bCs/>
          <w:color w:val="1A365D"/>
          <w:sz w:val="20"/>
          <w:szCs w:val="20"/>
        </w:rPr>
        <w:t xml:space="preserve">Hero headline: </w:t>
      </w:r>
      <w:r>
        <w:rPr>
          <w:rFonts w:ascii="Arial" w:cs="Arial" w:eastAsia="Arial" w:hAnsi="Arial"/>
          <w:color w:val="333333"/>
          <w:sz w:val="20"/>
          <w:szCs w:val="20"/>
        </w:rPr>
        <w:t xml:space="preserve">Engineering the future of health and technology.</w:t>
      </w:r>
    </w:p>
    <w:p>
      <w:pPr>
        <w:spacing w:after="120"/>
      </w:pPr>
      <w:r>
        <w:rPr>
          <w:rFonts w:ascii="Arial" w:cs="Arial" w:eastAsia="Arial" w:hAnsi="Arial"/>
          <w:b/>
          <w:bCs/>
          <w:color w:val="1A365D"/>
          <w:sz w:val="20"/>
          <w:szCs w:val="20"/>
        </w:rPr>
        <w:t xml:space="preserve">Hero subtitle: </w:t>
      </w:r>
      <w:r>
        <w:rPr>
          <w:rFonts w:ascii="Arial" w:cs="Arial" w:eastAsia="Arial" w:hAnsi="Arial"/>
          <w:color w:val="333333"/>
          <w:sz w:val="20"/>
          <w:szCs w:val="20"/>
        </w:rPr>
        <w:t xml:space="preserve">Join an elite BrainSAIT learning track built for healthcare founders, transformation teams, and operators who need automated systems, integrated workflows, and practical AI execution.</w:t>
      </w:r>
    </w:p>
    <w:p>
      <w:pPr>
        <w:spacing w:after="120"/>
      </w:pPr>
      <w:r>
        <w:rPr>
          <w:rFonts w:ascii="Arial" w:cs="Arial" w:eastAsia="Arial" w:hAnsi="Arial"/>
          <w:b/>
          <w:bCs/>
          <w:color w:val="1A365D"/>
          <w:sz w:val="20"/>
          <w:szCs w:val="20"/>
        </w:rPr>
        <w:t xml:space="preserve">Badge: </w:t>
      </w:r>
      <w:r>
        <w:rPr>
          <w:rFonts w:ascii="Arial" w:cs="Arial" w:eastAsia="Arial" w:hAnsi="Arial"/>
          <w:color w:val="333333"/>
          <w:sz w:val="20"/>
          <w:szCs w:val="20"/>
        </w:rPr>
        <w:t xml:space="preserve">Advanced Cohort</w:t>
      </w:r>
    </w:p>
    <w:p>
      <w:pPr>
        <w:spacing w:after="60"/>
      </w:pPr>
    </w:p>
    <w:p>
      <w:pPr>
        <w:pStyle w:val="Heading2"/>
        <w:spacing w:after="160" w:before="360"/>
      </w:pPr>
      <w:r>
        <w:rPr>
          <w:rFonts w:ascii="Arial" w:cs="Arial" w:eastAsia="Arial" w:hAnsi="Arial"/>
          <w:b/>
          <w:bCs/>
          <w:color w:val="2B6CB8"/>
          <w:sz w:val="28"/>
          <w:szCs w:val="28"/>
        </w:rPr>
        <w:t xml:space="preserve">Hub Value Pillars</w:t>
      </w:r>
    </w:p>
    <w:p>
      <w:pPr>
        <w:pStyle w:val="ListParagraph"/>
        <w:numPr>
          <w:ilvl w:val="0"/>
          <w:numId w:val="2"/>
        </w:numPr>
        <w:spacing w:after="120"/>
      </w:pPr>
      <w:r>
        <w:rPr>
          <w:rFonts w:ascii="Arial" w:cs="Arial" w:eastAsia="Arial" w:hAnsi="Arial"/>
          <w:b/>
          <w:bCs/>
          <w:color w:val="0EA5E9"/>
          <w:sz w:val="20"/>
          <w:szCs w:val="20"/>
        </w:rPr>
        <w:t xml:space="preserve">Learn inside the program — </w:t>
      </w:r>
      <w:r>
        <w:rPr>
          <w:rFonts w:ascii="Arial" w:cs="Arial" w:eastAsia="Arial" w:hAnsi="Arial"/>
          <w:color w:val="333333"/>
          <w:sz w:val="20"/>
          <w:szCs w:val="20"/>
        </w:rPr>
        <w:t xml:space="preserve">Training is now part of the BrainSAIT experience, not a disconnected external resource.</w:t>
      </w:r>
    </w:p>
    <w:p>
      <w:pPr>
        <w:pStyle w:val="ListParagraph"/>
        <w:numPr>
          <w:ilvl w:val="0"/>
          <w:numId w:val="2"/>
        </w:numPr>
        <w:spacing w:after="120"/>
      </w:pPr>
      <w:r>
        <w:rPr>
          <w:rFonts w:ascii="Arial" w:cs="Arial" w:eastAsia="Arial" w:hAnsi="Arial"/>
          <w:b/>
          <w:bCs/>
          <w:color w:val="0EA5E9"/>
          <w:sz w:val="20"/>
          <w:szCs w:val="20"/>
        </w:rPr>
        <w:t xml:space="preserve">Translate learning into systems — </w:t>
      </w:r>
      <w:r>
        <w:rPr>
          <w:rFonts w:ascii="Arial" w:cs="Arial" w:eastAsia="Arial" w:hAnsi="Arial"/>
          <w:color w:val="333333"/>
          <w:sz w:val="20"/>
          <w:szCs w:val="20"/>
        </w:rPr>
        <w:t xml:space="preserve">Every module is designed to feed directly into product, operations, compliance, and venture execution.</w:t>
      </w:r>
    </w:p>
    <w:p>
      <w:pPr>
        <w:pStyle w:val="ListParagraph"/>
        <w:numPr>
          <w:ilvl w:val="0"/>
          <w:numId w:val="2"/>
        </w:numPr>
        <w:spacing w:after="120"/>
      </w:pPr>
      <w:r>
        <w:rPr>
          <w:rFonts w:ascii="Arial" w:cs="Arial" w:eastAsia="Arial" w:hAnsi="Arial"/>
          <w:b/>
          <w:bCs/>
          <w:color w:val="0EA5E9"/>
          <w:sz w:val="20"/>
          <w:szCs w:val="20"/>
        </w:rPr>
        <w:t xml:space="preserve">Move from ideas to execution — </w:t>
      </w:r>
      <w:r>
        <w:rPr>
          <w:rFonts w:ascii="Arial" w:cs="Arial" w:eastAsia="Arial" w:hAnsi="Arial"/>
          <w:color w:val="333333"/>
          <w:sz w:val="20"/>
          <w:szCs w:val="20"/>
        </w:rPr>
        <w:t xml:space="preserve">Courses, portal workflows, and project delivery now reinforce each other in one platform journey.</w:t>
      </w:r>
    </w:p>
    <w:p>
      <w:pPr>
        <w:spacing w:after="60"/>
      </w:pPr>
    </w:p>
    <w:p>
      <w:pPr>
        <w:pStyle w:val="Heading2"/>
        <w:spacing w:after="160" w:before="360"/>
      </w:pPr>
      <w:r>
        <w:rPr>
          <w:rFonts w:ascii="Arial" w:cs="Arial" w:eastAsia="Arial" w:hAnsi="Arial"/>
          <w:b/>
          <w:bCs/>
          <w:color w:val="2B6CB8"/>
          <w:sz w:val="28"/>
          <w:szCs w:val="28"/>
        </w:rPr>
        <w:t xml:space="preserve">Hub Navigation &amp; Links</w:t>
      </w:r>
    </w:p>
    <w:p>
      <w:pPr>
        <w:spacing w:after="120"/>
      </w:pPr>
      <w:r>
        <w:rPr>
          <w:rFonts w:ascii="Arial" w:cs="Arial" w:eastAsia="Arial" w:hAnsi="Arial"/>
          <w:b/>
          <w:bCs/>
          <w:color w:val="1A365D"/>
          <w:sz w:val="20"/>
          <w:szCs w:val="20"/>
        </w:rPr>
        <w:t xml:space="preserve">Featured course CTA: </w:t>
      </w:r>
      <w:r>
        <w:rPr>
          <w:rFonts w:ascii="Arial" w:cs="Arial" w:eastAsia="Arial" w:hAnsi="Arial"/>
          <w:color w:val="333333"/>
          <w:sz w:val="20"/>
          <w:szCs w:val="20"/>
        </w:rPr>
        <w:t xml:space="preserve">"Explore premium course" → /training/courses/collective-brainpower</w:t>
      </w:r>
    </w:p>
    <w:p>
      <w:pPr>
        <w:spacing w:after="120"/>
      </w:pPr>
      <w:r>
        <w:rPr>
          <w:rFonts w:ascii="Arial" w:cs="Arial" w:eastAsia="Arial" w:hAnsi="Arial"/>
          <w:b/>
          <w:bCs/>
          <w:color w:val="1A365D"/>
          <w:sz w:val="20"/>
          <w:szCs w:val="20"/>
        </w:rPr>
        <w:t xml:space="preserve">Classroom CTA: </w:t>
      </w:r>
      <w:r>
        <w:rPr>
          <w:rFonts w:ascii="Arial" w:cs="Arial" w:eastAsia="Arial" w:hAnsi="Arial"/>
          <w:color w:val="333333"/>
          <w:sz w:val="20"/>
          <w:szCs w:val="20"/>
        </w:rPr>
        <w:t xml:space="preserve">"Access Google Classroom" → https://classroom.google.com/c/ODYwNTAyNzAzMTky?cjc=4oc22gvm</w:t>
      </w:r>
    </w:p>
    <w:p>
      <w:pPr>
        <w:spacing w:after="120"/>
      </w:pPr>
      <w:r>
        <w:rPr>
          <w:rFonts w:ascii="Arial" w:cs="Arial" w:eastAsia="Arial" w:hAnsi="Arial"/>
          <w:b/>
          <w:bCs/>
          <w:color w:val="1A365D"/>
          <w:sz w:val="20"/>
          <w:szCs w:val="20"/>
        </w:rPr>
        <w:t xml:space="preserve">Class code displayed: </w:t>
      </w:r>
      <w:r>
        <w:rPr>
          <w:rFonts w:ascii="Arial" w:cs="Arial" w:eastAsia="Arial" w:hAnsi="Arial"/>
          <w:color w:val="333333"/>
          <w:sz w:val="20"/>
          <w:szCs w:val="20"/>
        </w:rPr>
        <w:t xml:space="preserve">4oc22gvm</w:t>
      </w:r>
    </w:p>
    <w:p>
      <w:pPr>
        <w:pBdr>
          <w:bottom w:val="single" w:color="F1F5F9" w:sz="2" w:space="4"/>
        </w:pBdr>
        <w:spacing w:after="200" w:before="200"/>
      </w:pPr>
    </w:p>
    <w:p>
      <w:pPr>
        <w:pStyle w:val="Heading1"/>
        <w:pBdr>
          <w:bottom w:val="single" w:color="0EA5E9" w:sz="4" w:space="4"/>
        </w:pBdr>
        <w:spacing w:after="200" w:before="480"/>
      </w:pPr>
      <w:r>
        <w:rPr>
          <w:rFonts w:ascii="Arial" w:cs="Arial" w:eastAsia="Arial" w:hAnsi="Arial"/>
          <w:b/>
          <w:bCs/>
          <w:color w:val="1A365D"/>
          <w:sz w:val="36"/>
          <w:szCs w:val="36"/>
        </w:rPr>
        <w:t xml:space="preserve">Part 2 — Course 1: Collective Brainpower</w:t>
      </w:r>
    </w:p>
    <w:p>
      <w:pPr>
        <w:pStyle w:val="Heading2"/>
        <w:spacing w:after="160" w:before="360"/>
      </w:pPr>
      <w:r>
        <w:rPr>
          <w:rFonts w:ascii="Arial" w:cs="Arial" w:eastAsia="Arial" w:hAnsi="Arial"/>
          <w:b/>
          <w:bCs/>
          <w:color w:val="2B6CB8"/>
          <w:sz w:val="28"/>
          <w:szCs w:val="28"/>
        </w:rPr>
        <w:t xml:space="preserve">Course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pPr>
              <w:spacing w:after="120"/>
            </w:pPr>
            <w:r>
              <w:rPr>
                <w:rFonts w:ascii="Arial" w:cs="Arial" w:eastAsia="Arial" w:hAnsi="Arial"/>
                <w:b/>
                <w:bCs/>
                <w:caps/>
                <w:color w:val="64748B"/>
                <w:sz w:val="18"/>
                <w:szCs w:val="18"/>
              </w:rPr>
              <w:t xml:space="preserve">Slug</w:t>
            </w:r>
          </w:p>
        </w:tc>
        <w:tc>
          <w:tcPr>
            <w:tcW w:type="dxa" w:w="70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0"/>
                <w:szCs w:val="20"/>
              </w:rPr>
              <w:t xml:space="preserve">collective-brainpower</w:t>
            </w:r>
          </w:p>
        </w:tc>
      </w:tr>
      <w:tr>
        <w:tc>
          <w:tcPr>
            <w:tcW w:type="dxa" w:w="23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pPr>
              <w:spacing w:after="120"/>
            </w:pPr>
            <w:r>
              <w:rPr>
                <w:rFonts w:ascii="Arial" w:cs="Arial" w:eastAsia="Arial" w:hAnsi="Arial"/>
                <w:b/>
                <w:bCs/>
                <w:caps/>
                <w:color w:val="64748B"/>
                <w:sz w:val="18"/>
                <w:szCs w:val="18"/>
              </w:rPr>
              <w:t xml:space="preserve">Badge / Status</w:t>
            </w:r>
          </w:p>
        </w:tc>
        <w:tc>
          <w:tcPr>
            <w:tcW w:type="dxa" w:w="70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0"/>
                <w:szCs w:val="20"/>
              </w:rPr>
              <w:t xml:space="preserve">Registration Now Open</w:t>
            </w:r>
          </w:p>
        </w:tc>
      </w:tr>
      <w:tr>
        <w:tc>
          <w:tcPr>
            <w:tcW w:type="dxa" w:w="23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pPr>
              <w:spacing w:after="120"/>
            </w:pPr>
            <w:r>
              <w:rPr>
                <w:rFonts w:ascii="Arial" w:cs="Arial" w:eastAsia="Arial" w:hAnsi="Arial"/>
                <w:b/>
                <w:bCs/>
                <w:caps/>
                <w:color w:val="64748B"/>
                <w:sz w:val="18"/>
                <w:szCs w:val="18"/>
              </w:rPr>
              <w:t xml:space="preserve">Format</w:t>
            </w:r>
          </w:p>
        </w:tc>
        <w:tc>
          <w:tcPr>
            <w:tcW w:type="dxa" w:w="70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0"/>
                <w:szCs w:val="20"/>
              </w:rPr>
              <w:t xml:space="preserve">Google Classroom + guided implementation</w:t>
            </w:r>
          </w:p>
        </w:tc>
      </w:tr>
      <w:tr>
        <w:tc>
          <w:tcPr>
            <w:tcW w:type="dxa" w:w="23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pPr>
              <w:spacing w:after="120"/>
            </w:pPr>
            <w:r>
              <w:rPr>
                <w:rFonts w:ascii="Arial" w:cs="Arial" w:eastAsia="Arial" w:hAnsi="Arial"/>
                <w:b/>
                <w:bCs/>
                <w:caps/>
                <w:color w:val="64748B"/>
                <w:sz w:val="18"/>
                <w:szCs w:val="18"/>
              </w:rPr>
              <w:t xml:space="preserve">Duration</w:t>
            </w:r>
          </w:p>
        </w:tc>
        <w:tc>
          <w:tcPr>
            <w:tcW w:type="dxa" w:w="70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0"/>
                <w:szCs w:val="20"/>
              </w:rPr>
              <w:t xml:space="preserve">Cohort-based with self-paced materials</w:t>
            </w:r>
          </w:p>
        </w:tc>
      </w:tr>
      <w:tr>
        <w:tc>
          <w:tcPr>
            <w:tcW w:type="dxa" w:w="23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pPr>
              <w:spacing w:after="120"/>
            </w:pPr>
            <w:r>
              <w:rPr>
                <w:rFonts w:ascii="Arial" w:cs="Arial" w:eastAsia="Arial" w:hAnsi="Arial"/>
                <w:b/>
                <w:bCs/>
                <w:caps/>
                <w:color w:val="64748B"/>
                <w:sz w:val="18"/>
                <w:szCs w:val="18"/>
              </w:rPr>
              <w:t xml:space="preserve">Level / Audience</w:t>
            </w:r>
          </w:p>
        </w:tc>
        <w:tc>
          <w:tcPr>
            <w:tcW w:type="dxa" w:w="70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0"/>
                <w:szCs w:val="20"/>
              </w:rPr>
              <w:t xml:space="preserve">Founders, operators, and innovation teams</w:t>
            </w:r>
          </w:p>
        </w:tc>
      </w:tr>
      <w:tr>
        <w:tc>
          <w:tcPr>
            <w:tcW w:type="dxa" w:w="23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pPr>
              <w:spacing w:after="120"/>
            </w:pPr>
            <w:r>
              <w:rPr>
                <w:rFonts w:ascii="Arial" w:cs="Arial" w:eastAsia="Arial" w:hAnsi="Arial"/>
                <w:b/>
                <w:bCs/>
                <w:caps/>
                <w:color w:val="64748B"/>
                <w:sz w:val="18"/>
                <w:szCs w:val="18"/>
              </w:rPr>
              <w:t xml:space="preserve">Classroom URL</w:t>
            </w:r>
          </w:p>
        </w:tc>
        <w:tc>
          <w:tcPr>
            <w:tcW w:type="dxa" w:w="70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0"/>
                <w:szCs w:val="20"/>
              </w:rPr>
              <w:t xml:space="preserve">https://classroom.google.com/c/ODYwNTAyNzAzMTky?cjc=4oc22gvm</w:t>
            </w:r>
          </w:p>
        </w:tc>
      </w:tr>
      <w:tr>
        <w:tc>
          <w:tcPr>
            <w:tcW w:type="dxa" w:w="23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pPr>
              <w:spacing w:after="120"/>
            </w:pPr>
            <w:r>
              <w:rPr>
                <w:rFonts w:ascii="Arial" w:cs="Arial" w:eastAsia="Arial" w:hAnsi="Arial"/>
                <w:b/>
                <w:bCs/>
                <w:caps/>
                <w:color w:val="64748B"/>
                <w:sz w:val="18"/>
                <w:szCs w:val="18"/>
              </w:rPr>
              <w:t xml:space="preserve">Class Code</w:t>
            </w:r>
          </w:p>
        </w:tc>
        <w:tc>
          <w:tcPr>
            <w:tcW w:type="dxa" w:w="70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0"/>
                <w:szCs w:val="20"/>
              </w:rPr>
              <w:t xml:space="preserve">4oc22gvm</w:t>
            </w:r>
          </w:p>
        </w:tc>
      </w:tr>
    </w:tbl>
    <w:p>
      <w:pPr>
        <w:spacing w:after="60"/>
      </w:pPr>
    </w:p>
    <w:p>
      <w:pPr>
        <w:pStyle w:val="Heading2"/>
        <w:spacing w:after="160" w:before="360"/>
      </w:pPr>
      <w:r>
        <w:rPr>
          <w:rFonts w:ascii="Arial" w:cs="Arial" w:eastAsia="Arial" w:hAnsi="Arial"/>
          <w:b/>
          <w:bCs/>
          <w:color w:val="2B6CB8"/>
          <w:sz w:val="28"/>
          <w:szCs w:val="28"/>
        </w:rPr>
        <w:t xml:space="preserve">Course Title &amp; Description</w:t>
      </w:r>
    </w:p>
    <w:p>
      <w:pPr>
        <w:pStyle w:val="Heading3"/>
        <w:spacing w:after="120" w:before="240"/>
      </w:pPr>
      <w:r>
        <w:rPr>
          <w:rFonts w:ascii="Arial" w:cs="Arial" w:eastAsia="Arial" w:hAnsi="Arial"/>
          <w:b/>
          <w:bCs/>
          <w:color w:val="1A365D"/>
          <w:sz w:val="24"/>
          <w:szCs w:val="24"/>
        </w:rPr>
        <w:t xml:space="preserve">Title</w:t>
      </w:r>
    </w:p>
    <w:p>
      <w:pPr>
        <w:spacing w:after="120"/>
      </w:pPr>
      <w:r>
        <w:rPr>
          <w:rFonts w:ascii="Arial" w:cs="Arial" w:eastAsia="Arial" w:hAnsi="Arial"/>
          <w:b/>
          <w:bCs/>
          <w:color w:val="1A365D"/>
          <w:sz w:val="22"/>
          <w:szCs w:val="22"/>
        </w:rPr>
        <w:t xml:space="preserve">Master the Intersection of Healthcare, Tech &amp; AI</w:t>
      </w:r>
    </w:p>
    <w:p>
      <w:pPr>
        <w:pStyle w:val="Heading3"/>
        <w:spacing w:after="120" w:before="240"/>
      </w:pPr>
      <w:r>
        <w:rPr>
          <w:rFonts w:ascii="Arial" w:cs="Arial" w:eastAsia="Arial" w:hAnsi="Arial"/>
          <w:b/>
          <w:bCs/>
          <w:color w:val="1A365D"/>
          <w:sz w:val="24"/>
          <w:szCs w:val="24"/>
        </w:rPr>
        <w:t xml:space="preserve">Subtitle</w:t>
      </w:r>
    </w:p>
    <w:p>
      <w:pPr>
        <w:spacing w:after="120"/>
      </w:pPr>
      <w:r>
        <w:rPr>
          <w:rFonts w:ascii="Arial" w:cs="Arial" w:eastAsia="Arial" w:hAnsi="Arial"/>
          <w:color w:val="333333"/>
          <w:sz w:val="20"/>
          <w:szCs w:val="20"/>
        </w:rPr>
        <w:t xml:space="preserve">Join an exclusive collective brainpower program designed to deliver solutions that are automated, integrated, and technology-driven.</w:t>
      </w:r>
    </w:p>
    <w:p>
      <w:pPr>
        <w:pStyle w:val="Heading3"/>
        <w:spacing w:after="120" w:before="240"/>
      </w:pPr>
      <w:r>
        <w:rPr>
          <w:rFonts w:ascii="Arial" w:cs="Arial" w:eastAsia="Arial" w:hAnsi="Arial"/>
          <w:b/>
          <w:bCs/>
          <w:color w:val="1A365D"/>
          <w:sz w:val="24"/>
          <w:szCs w:val="24"/>
        </w:rPr>
        <w:t xml:space="preserve">Summary</w:t>
      </w:r>
    </w:p>
    <w:p>
      <w:pPr>
        <w:spacing w:after="120"/>
      </w:pPr>
      <w:r>
        <w:rPr>
          <w:rFonts w:ascii="Arial" w:cs="Arial" w:eastAsia="Arial" w:hAnsi="Arial"/>
          <w:color w:val="333333"/>
          <w:sz w:val="20"/>
          <w:szCs w:val="20"/>
        </w:rPr>
        <w:t xml:space="preserve">A premium BrainSAIT course for healthcare founders, operators, and innovators building the next wave of digital health transformation.</w:t>
      </w:r>
    </w:p>
    <w:p>
      <w:pPr>
        <w:pStyle w:val="Heading3"/>
        <w:spacing w:after="120" w:before="240"/>
      </w:pPr>
      <w:r>
        <w:rPr>
          <w:rFonts w:ascii="Arial" w:cs="Arial" w:eastAsia="Arial" w:hAnsi="Arial"/>
          <w:b/>
          <w:bCs/>
          <w:color w:val="1A365D"/>
          <w:sz w:val="24"/>
          <w:szCs w:val="24"/>
        </w:rPr>
        <w:t xml:space="preserve">Full Description</w:t>
      </w:r>
    </w:p>
    <w:p>
      <w:pPr>
        <w:spacing w:after="120"/>
      </w:pPr>
      <w:r>
        <w:rPr>
          <w:rFonts w:ascii="Arial" w:cs="Arial" w:eastAsia="Arial" w:hAnsi="Arial"/>
          <w:color w:val="333333"/>
          <w:sz w:val="20"/>
          <w:szCs w:val="20"/>
        </w:rPr>
        <w:t xml:space="preserve">This course brings together healthcare strategy, digital transformation, artificial intelligence, and entrepreneurship into one practical learning track. It is designed for ambitious teams who need to move from fragmented ideas to automated systems, interoperable platforms, and scalable growth.</w:t>
      </w:r>
    </w:p>
    <w:p>
      <w:pPr>
        <w:spacing w:after="60"/>
      </w:pPr>
    </w:p>
    <w:p>
      <w:pPr>
        <w:pStyle w:val="Heading2"/>
        <w:spacing w:after="160" w:before="360"/>
      </w:pPr>
      <w:r>
        <w:rPr>
          <w:rFonts w:ascii="Arial" w:cs="Arial" w:eastAsia="Arial" w:hAnsi="Arial"/>
          <w:b/>
          <w:bCs/>
          <w:color w:val="2B6CB8"/>
          <w:sz w:val="28"/>
          <w:szCs w:val="28"/>
        </w:rPr>
        <w:t xml:space="preserve">Focus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sz w:val="28"/>
                <w:szCs w:val="28"/>
              </w:rPr>
              <w:t xml:space="preserve">⚡  </w:t>
            </w:r>
            <w:r>
              <w:rPr>
                <w:rFonts w:ascii="Arial" w:cs="Arial" w:eastAsia="Arial" w:hAnsi="Arial"/>
                <w:b/>
                <w:bCs/>
                <w:color w:val="1A365D"/>
                <w:sz w:val="20"/>
                <w:szCs w:val="20"/>
              </w:rPr>
              <w:t xml:space="preserve">Automated Solutions</w:t>
            </w:r>
          </w:p>
          <w:p>
            <w:pPr>
              <w:spacing w:after="120"/>
            </w:pPr>
            <w:r>
              <w:rPr>
                <w:rFonts w:ascii="Arial" w:cs="Arial" w:eastAsia="Arial" w:hAnsi="Arial"/>
                <w:color w:val="333333"/>
                <w:sz w:val="20"/>
                <w:szCs w:val="20"/>
              </w:rPr>
              <w:t xml:space="preserve">Leverage artificial intelligence and machine learning to streamline clinical and operational workflows efficiently.</w:t>
            </w:r>
          </w:p>
        </w:tc>
        <w:tc>
          <w:tcPr>
            <w:tcW w:type="dxa" w:w="31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sz w:val="28"/>
                <w:szCs w:val="28"/>
              </w:rPr>
              <w:t xml:space="preserve">🔗  </w:t>
            </w:r>
            <w:r>
              <w:rPr>
                <w:rFonts w:ascii="Arial" w:cs="Arial" w:eastAsia="Arial" w:hAnsi="Arial"/>
                <w:b/>
                <w:bCs/>
                <w:color w:val="1A365D"/>
                <w:sz w:val="20"/>
                <w:szCs w:val="20"/>
              </w:rPr>
              <w:t xml:space="preserve">Integrated Systems</w:t>
            </w:r>
          </w:p>
          <w:p>
            <w:pPr>
              <w:spacing w:after="120"/>
            </w:pPr>
            <w:r>
              <w:rPr>
                <w:rFonts w:ascii="Arial" w:cs="Arial" w:eastAsia="Arial" w:hAnsi="Arial"/>
                <w:color w:val="333333"/>
                <w:sz w:val="20"/>
                <w:szCs w:val="20"/>
              </w:rPr>
              <w:t xml:space="preserve">Bridge healthcare requirements and business strategy through seamless interoperability and digital architecture.</w:t>
            </w:r>
          </w:p>
        </w:tc>
        <w:tc>
          <w:tcPr>
            <w:tcW w:type="dxa" w:w="31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sz w:val="28"/>
                <w:szCs w:val="28"/>
              </w:rPr>
              <w:t xml:space="preserve">📈  </w:t>
            </w:r>
            <w:r>
              <w:rPr>
                <w:rFonts w:ascii="Arial" w:cs="Arial" w:eastAsia="Arial" w:hAnsi="Arial"/>
                <w:b/>
                <w:bCs/>
                <w:color w:val="1A365D"/>
                <w:sz w:val="20"/>
                <w:szCs w:val="20"/>
              </w:rPr>
              <w:t xml:space="preserve">Tech-Driven Growth</w:t>
            </w:r>
          </w:p>
          <w:p>
            <w:pPr>
              <w:spacing w:after="120"/>
            </w:pPr>
            <w:r>
              <w:rPr>
                <w:rFonts w:ascii="Arial" w:cs="Arial" w:eastAsia="Arial" w:hAnsi="Arial"/>
                <w:color w:val="333333"/>
                <w:sz w:val="20"/>
                <w:szCs w:val="20"/>
              </w:rPr>
              <w:t xml:space="preserve">Master the entrepreneurial mindset needed to scale innovative health-tech ventures across regional and global markets.</w:t>
            </w:r>
          </w:p>
        </w:tc>
      </w:tr>
    </w:tbl>
    <w:p>
      <w:pPr>
        <w:spacing w:after="60"/>
      </w:pPr>
    </w:p>
    <w:p>
      <w:pPr>
        <w:pStyle w:val="Heading2"/>
        <w:spacing w:after="160" w:before="360"/>
      </w:pPr>
      <w:r>
        <w:rPr>
          <w:rFonts w:ascii="Arial" w:cs="Arial" w:eastAsia="Arial" w:hAnsi="Arial"/>
          <w:b/>
          <w:bCs/>
          <w:color w:val="2B6CB8"/>
          <w:sz w:val="28"/>
          <w:szCs w:val="28"/>
        </w:rPr>
        <w:t xml:space="preserve">Curriculum — 4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A5E9" w:val="clear"/>
            <w:tcMar>
              <w:top w:type="dxa" w:w="100"/>
              <w:left w:type="dxa" w:w="150"/>
              <w:bottom w:type="dxa" w:w="100"/>
              <w:right w:type="dxa" w:w="150"/>
            </w:tcMar>
          </w:tcPr>
          <w:p>
            <w:pPr>
              <w:spacing w:after="120"/>
              <w:jc w:val="center"/>
            </w:pPr>
            <w:r>
              <w:rPr>
                <w:rFonts w:ascii="Arial" w:cs="Arial" w:eastAsia="Arial" w:hAnsi="Arial"/>
                <w:b/>
                <w:bCs/>
                <w:color w:val="FFFFFF"/>
                <w:sz w:val="28"/>
                <w:szCs w:val="28"/>
              </w:rPr>
              <w:t xml:space="preserve">1</w:t>
            </w:r>
          </w:p>
        </w:tc>
        <w:tc>
          <w:tcPr>
            <w:tcW w:type="dxa" w:w="864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2"/>
                <w:szCs w:val="22"/>
              </w:rPr>
              <w:t xml:space="preserve">Collective Brainpower Foundations</w:t>
            </w:r>
          </w:p>
          <w:p>
            <w:pPr>
              <w:spacing w:after="120"/>
            </w:pPr>
            <w:r>
              <w:rPr>
                <w:rFonts w:ascii="Arial" w:cs="Arial" w:eastAsia="Arial" w:hAnsi="Arial"/>
                <w:color w:val="333333"/>
                <w:sz w:val="20"/>
                <w:szCs w:val="20"/>
              </w:rPr>
              <w:t xml:space="preserve">Build a decision-making model that aligns physicians, operators, founders, and technical teams around a shared digital roadmap.</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A5E9" w:val="clear"/>
            <w:tcMar>
              <w:top w:type="dxa" w:w="100"/>
              <w:left w:type="dxa" w:w="150"/>
              <w:bottom w:type="dxa" w:w="100"/>
              <w:right w:type="dxa" w:w="150"/>
            </w:tcMar>
          </w:tcPr>
          <w:p>
            <w:pPr>
              <w:spacing w:after="120"/>
              <w:jc w:val="center"/>
            </w:pPr>
            <w:r>
              <w:rPr>
                <w:rFonts w:ascii="Arial" w:cs="Arial" w:eastAsia="Arial" w:hAnsi="Arial"/>
                <w:b/>
                <w:bCs/>
                <w:color w:val="FFFFFF"/>
                <w:sz w:val="28"/>
                <w:szCs w:val="28"/>
              </w:rPr>
              <w:t xml:space="preserve">2</w:t>
            </w:r>
          </w:p>
        </w:tc>
        <w:tc>
          <w:tcPr>
            <w:tcW w:type="dxa" w:w="864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2"/>
                <w:szCs w:val="22"/>
              </w:rPr>
              <w:t xml:space="preserve">Automation in Healthcare Operations</w:t>
            </w:r>
          </w:p>
          <w:p>
            <w:pPr>
              <w:spacing w:after="120"/>
            </w:pPr>
            <w:r>
              <w:rPr>
                <w:rFonts w:ascii="Arial" w:cs="Arial" w:eastAsia="Arial" w:hAnsi="Arial"/>
                <w:color w:val="333333"/>
                <w:sz w:val="20"/>
                <w:szCs w:val="20"/>
              </w:rPr>
              <w:t xml:space="preserve">Identify high-leverage automation opportunities across patient journeys, compliance workflows, analytics, and back-office execution.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A5E9" w:val="clear"/>
            <w:tcMar>
              <w:top w:type="dxa" w:w="100"/>
              <w:left w:type="dxa" w:w="150"/>
              <w:bottom w:type="dxa" w:w="100"/>
              <w:right w:type="dxa" w:w="150"/>
            </w:tcMar>
          </w:tcPr>
          <w:p>
            <w:pPr>
              <w:spacing w:after="120"/>
              <w:jc w:val="center"/>
            </w:pPr>
            <w:r>
              <w:rPr>
                <w:rFonts w:ascii="Arial" w:cs="Arial" w:eastAsia="Arial" w:hAnsi="Arial"/>
                <w:b/>
                <w:bCs/>
                <w:color w:val="FFFFFF"/>
                <w:sz w:val="28"/>
                <w:szCs w:val="28"/>
              </w:rPr>
              <w:t xml:space="preserve">3</w:t>
            </w:r>
          </w:p>
        </w:tc>
        <w:tc>
          <w:tcPr>
            <w:tcW w:type="dxa" w:w="864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2"/>
                <w:szCs w:val="22"/>
              </w:rPr>
              <w:t xml:space="preserve">Integrated Digital Health Systems</w:t>
            </w:r>
          </w:p>
          <w:p>
            <w:pPr>
              <w:spacing w:after="120"/>
            </w:pPr>
            <w:r>
              <w:rPr>
                <w:rFonts w:ascii="Arial" w:cs="Arial" w:eastAsia="Arial" w:hAnsi="Arial"/>
                <w:color w:val="333333"/>
                <w:sz w:val="20"/>
                <w:szCs w:val="20"/>
              </w:rPr>
              <w:t xml:space="preserve">Design interoperable systems that connect clinical requirements, data contracts, AI services, and business processes.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A5E9" w:val="clear"/>
            <w:tcMar>
              <w:top w:type="dxa" w:w="100"/>
              <w:left w:type="dxa" w:w="150"/>
              <w:bottom w:type="dxa" w:w="100"/>
              <w:right w:type="dxa" w:w="150"/>
            </w:tcMar>
          </w:tcPr>
          <w:p>
            <w:pPr>
              <w:spacing w:after="120"/>
              <w:jc w:val="center"/>
            </w:pPr>
            <w:r>
              <w:rPr>
                <w:rFonts w:ascii="Arial" w:cs="Arial" w:eastAsia="Arial" w:hAnsi="Arial"/>
                <w:b/>
                <w:bCs/>
                <w:color w:val="FFFFFF"/>
                <w:sz w:val="28"/>
                <w:szCs w:val="28"/>
              </w:rPr>
              <w:t xml:space="preserve">4</w:t>
            </w:r>
          </w:p>
        </w:tc>
        <w:tc>
          <w:tcPr>
            <w:tcW w:type="dxa" w:w="864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2"/>
                <w:szCs w:val="22"/>
              </w:rPr>
              <w:t xml:space="preserve">AI Strategy for Health-Tech Growth</w:t>
            </w:r>
          </w:p>
          <w:p>
            <w:pPr>
              <w:spacing w:after="120"/>
            </w:pPr>
            <w:r>
              <w:rPr>
                <w:rFonts w:ascii="Arial" w:cs="Arial" w:eastAsia="Arial" w:hAnsi="Arial"/>
                <w:color w:val="333333"/>
                <w:sz w:val="20"/>
                <w:szCs w:val="20"/>
              </w:rPr>
              <w:t xml:space="preserve">Translate AI capabilities into product strategy, founder positioning, and scalable market execution for healthcare ventures.</w:t>
            </w:r>
          </w:p>
        </w:tc>
      </w:tr>
    </w:tbl>
    <w:p>
      <w:pPr>
        <w:spacing w:after="60"/>
      </w:pPr>
    </w:p>
    <w:p>
      <w:pPr>
        <w:pStyle w:val="Heading2"/>
        <w:spacing w:after="160" w:before="360"/>
      </w:pPr>
      <w:r>
        <w:rPr>
          <w:rFonts w:ascii="Arial" w:cs="Arial" w:eastAsia="Arial" w:hAnsi="Arial"/>
          <w:b/>
          <w:bCs/>
          <w:color w:val="2B6CB8"/>
          <w:sz w:val="28"/>
          <w:szCs w:val="28"/>
        </w:rPr>
        <w:t xml:space="preserve">Learning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0FDFF" w:val="clear"/>
            <w:tcMar>
              <w:top w:type="dxa" w:w="100"/>
              <w:left w:type="dxa" w:w="150"/>
              <w:bottom w:type="dxa" w:w="100"/>
              <w:right w:type="dxa" w:w="150"/>
            </w:tcMar>
          </w:tcPr>
          <w:p>
            <w:pPr>
              <w:spacing w:after="120"/>
              <w:jc w:val="center"/>
            </w:pPr>
            <w:r>
              <w:rPr>
                <w:rFonts w:ascii="Arial" w:cs="Arial" w:eastAsia="Arial" w:hAnsi="Arial"/>
                <w:b/>
                <w:bCs/>
                <w:color w:val="0EA5E9"/>
                <w:sz w:val="22"/>
                <w:szCs w:val="22"/>
              </w:rPr>
              <w:t xml:space="preserve">✓</w:t>
            </w:r>
          </w:p>
        </w:tc>
        <w:tc>
          <w:tcPr>
            <w:tcW w:type="dxa" w:w="8880"/>
            <w:tcBorders>
              <w:top w:val="none" w:color="FFFFFF" w:sz="0"/>
              <w:left w:val="none" w:color="FFFFFF" w:sz="0"/>
              <w:bottom w:val="none" w:color="FFFFFF" w:sz="0"/>
              <w:right w:val="none" w:color="FFFFFF" w:sz="0"/>
            </w:tcBorders>
            <w:tcMar>
              <w:top w:type="dxa" w:w="100"/>
              <w:left w:type="dxa" w:w="150"/>
              <w:bottom w:type="dxa" w:w="100"/>
              <w:right w:type="dxa" w:w="150"/>
            </w:tcMar>
          </w:tcPr>
          <w:p>
            <w:pPr>
              <w:spacing w:after="120"/>
            </w:pPr>
            <w:r>
              <w:rPr>
                <w:rFonts w:ascii="Arial" w:cs="Arial" w:eastAsia="Arial" w:hAnsi="Arial"/>
                <w:color w:val="333333"/>
                <w:sz w:val="20"/>
                <w:szCs w:val="20"/>
              </w:rPr>
              <w:t xml:space="preserve">Map automation opportunities across healthcare workflows and business operations.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0FDFF" w:val="clear"/>
            <w:tcMar>
              <w:top w:type="dxa" w:w="100"/>
              <w:left w:type="dxa" w:w="150"/>
              <w:bottom w:type="dxa" w:w="100"/>
              <w:right w:type="dxa" w:w="150"/>
            </w:tcMar>
          </w:tcPr>
          <w:p>
            <w:pPr>
              <w:spacing w:after="120"/>
              <w:jc w:val="center"/>
            </w:pPr>
            <w:r>
              <w:rPr>
                <w:rFonts w:ascii="Arial" w:cs="Arial" w:eastAsia="Arial" w:hAnsi="Arial"/>
                <w:b/>
                <w:bCs/>
                <w:color w:val="0EA5E9"/>
                <w:sz w:val="22"/>
                <w:szCs w:val="22"/>
              </w:rPr>
              <w:t xml:space="preserve">✓</w:t>
            </w:r>
          </w:p>
        </w:tc>
        <w:tc>
          <w:tcPr>
            <w:tcW w:type="dxa" w:w="8880"/>
            <w:tcBorders>
              <w:top w:val="none" w:color="FFFFFF" w:sz="0"/>
              <w:left w:val="none" w:color="FFFFFF" w:sz="0"/>
              <w:bottom w:val="none" w:color="FFFFFF" w:sz="0"/>
              <w:right w:val="none" w:color="FFFFFF" w:sz="0"/>
            </w:tcBorders>
            <w:tcMar>
              <w:top w:type="dxa" w:w="100"/>
              <w:left w:type="dxa" w:w="150"/>
              <w:bottom w:type="dxa" w:w="100"/>
              <w:right w:type="dxa" w:w="150"/>
            </w:tcMar>
          </w:tcPr>
          <w:p>
            <w:pPr>
              <w:spacing w:after="120"/>
            </w:pPr>
            <w:r>
              <w:rPr>
                <w:rFonts w:ascii="Arial" w:cs="Arial" w:eastAsia="Arial" w:hAnsi="Arial"/>
                <w:color w:val="333333"/>
                <w:sz w:val="20"/>
                <w:szCs w:val="20"/>
              </w:rPr>
              <w:t xml:space="preserve">Design interoperable digital systems that connect product, data, and service delivery.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0FDFF" w:val="clear"/>
            <w:tcMar>
              <w:top w:type="dxa" w:w="100"/>
              <w:left w:type="dxa" w:w="150"/>
              <w:bottom w:type="dxa" w:w="100"/>
              <w:right w:type="dxa" w:w="150"/>
            </w:tcMar>
          </w:tcPr>
          <w:p>
            <w:pPr>
              <w:spacing w:after="120"/>
              <w:jc w:val="center"/>
            </w:pPr>
            <w:r>
              <w:rPr>
                <w:rFonts w:ascii="Arial" w:cs="Arial" w:eastAsia="Arial" w:hAnsi="Arial"/>
                <w:b/>
                <w:bCs/>
                <w:color w:val="0EA5E9"/>
                <w:sz w:val="22"/>
                <w:szCs w:val="22"/>
              </w:rPr>
              <w:t xml:space="preserve">✓</w:t>
            </w:r>
          </w:p>
        </w:tc>
        <w:tc>
          <w:tcPr>
            <w:tcW w:type="dxa" w:w="8880"/>
            <w:tcBorders>
              <w:top w:val="none" w:color="FFFFFF" w:sz="0"/>
              <w:left w:val="none" w:color="FFFFFF" w:sz="0"/>
              <w:bottom w:val="none" w:color="FFFFFF" w:sz="0"/>
              <w:right w:val="none" w:color="FFFFFF" w:sz="0"/>
            </w:tcBorders>
            <w:tcMar>
              <w:top w:type="dxa" w:w="100"/>
              <w:left w:type="dxa" w:w="150"/>
              <w:bottom w:type="dxa" w:w="100"/>
              <w:right w:type="dxa" w:w="150"/>
            </w:tcMar>
          </w:tcPr>
          <w:p>
            <w:pPr>
              <w:spacing w:after="120"/>
            </w:pPr>
            <w:r>
              <w:rPr>
                <w:rFonts w:ascii="Arial" w:cs="Arial" w:eastAsia="Arial" w:hAnsi="Arial"/>
                <w:color w:val="333333"/>
                <w:sz w:val="20"/>
                <w:szCs w:val="20"/>
              </w:rPr>
              <w:t xml:space="preserve">Create an actionable AI adoption plan aligned with real startup or enterprise priorities.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0FDFF" w:val="clear"/>
            <w:tcMar>
              <w:top w:type="dxa" w:w="100"/>
              <w:left w:type="dxa" w:w="150"/>
              <w:bottom w:type="dxa" w:w="100"/>
              <w:right w:type="dxa" w:w="150"/>
            </w:tcMar>
          </w:tcPr>
          <w:p>
            <w:pPr>
              <w:spacing w:after="120"/>
              <w:jc w:val="center"/>
            </w:pPr>
            <w:r>
              <w:rPr>
                <w:rFonts w:ascii="Arial" w:cs="Arial" w:eastAsia="Arial" w:hAnsi="Arial"/>
                <w:b/>
                <w:bCs/>
                <w:color w:val="0EA5E9"/>
                <w:sz w:val="22"/>
                <w:szCs w:val="22"/>
              </w:rPr>
              <w:t xml:space="preserve">✓</w:t>
            </w:r>
          </w:p>
        </w:tc>
        <w:tc>
          <w:tcPr>
            <w:tcW w:type="dxa" w:w="8880"/>
            <w:tcBorders>
              <w:top w:val="none" w:color="FFFFFF" w:sz="0"/>
              <w:left w:val="none" w:color="FFFFFF" w:sz="0"/>
              <w:bottom w:val="none" w:color="FFFFFF" w:sz="0"/>
              <w:right w:val="none" w:color="FFFFFF" w:sz="0"/>
            </w:tcBorders>
            <w:tcMar>
              <w:top w:type="dxa" w:w="100"/>
              <w:left w:type="dxa" w:w="150"/>
              <w:bottom w:type="dxa" w:w="100"/>
              <w:right w:type="dxa" w:w="150"/>
            </w:tcMar>
          </w:tcPr>
          <w:p>
            <w:pPr>
              <w:spacing w:after="120"/>
            </w:pPr>
            <w:r>
              <w:rPr>
                <w:rFonts w:ascii="Arial" w:cs="Arial" w:eastAsia="Arial" w:hAnsi="Arial"/>
                <w:color w:val="333333"/>
                <w:sz w:val="20"/>
                <w:szCs w:val="20"/>
              </w:rPr>
              <w:t xml:space="preserve">Turn collective expertise into repeatable execution systems for growth and transformation.</w:t>
            </w:r>
          </w:p>
        </w:tc>
      </w:tr>
    </w:tbl>
    <w:p>
      <w:pPr>
        <w:spacing w:after="60"/>
      </w:pPr>
    </w:p>
    <w:p>
      <w:pPr>
        <w:pStyle w:val="Heading2"/>
        <w:spacing w:after="160" w:before="360"/>
      </w:pPr>
      <w:r>
        <w:rPr>
          <w:rFonts w:ascii="Arial" w:cs="Arial" w:eastAsia="Arial" w:hAnsi="Arial"/>
          <w:b/>
          <w:bCs/>
          <w:color w:val="2B6CB8"/>
          <w:sz w:val="28"/>
          <w:szCs w:val="28"/>
        </w:rPr>
        <w:t xml:space="preserve">Instructor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pPr>
              <w:spacing w:after="120"/>
            </w:pPr>
            <w:r>
              <w:rPr>
                <w:rFonts w:ascii="Arial" w:cs="Arial" w:eastAsia="Arial" w:hAnsi="Arial"/>
                <w:b/>
                <w:bCs/>
                <w:caps/>
                <w:color w:val="64748B"/>
                <w:sz w:val="18"/>
                <w:szCs w:val="18"/>
              </w:rPr>
              <w:t xml:space="preserve">Name</w:t>
            </w:r>
          </w:p>
        </w:tc>
        <w:tc>
          <w:tcPr>
            <w:tcW w:type="dxa" w:w="70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0"/>
                <w:szCs w:val="20"/>
              </w:rPr>
              <w:t xml:space="preserve">Dr. Mohamed El Fadil</w:t>
            </w:r>
          </w:p>
        </w:tc>
      </w:tr>
      <w:tr>
        <w:tc>
          <w:tcPr>
            <w:tcW w:type="dxa" w:w="23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pPr>
              <w:spacing w:after="120"/>
            </w:pPr>
            <w:r>
              <w:rPr>
                <w:rFonts w:ascii="Arial" w:cs="Arial" w:eastAsia="Arial" w:hAnsi="Arial"/>
                <w:b/>
                <w:bCs/>
                <w:caps/>
                <w:color w:val="64748B"/>
                <w:sz w:val="18"/>
                <w:szCs w:val="18"/>
              </w:rPr>
              <w:t xml:space="preserve">Role</w:t>
            </w:r>
          </w:p>
        </w:tc>
        <w:tc>
          <w:tcPr>
            <w:tcW w:type="dxa" w:w="70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0"/>
                <w:szCs w:val="20"/>
              </w:rPr>
              <w:t xml:space="preserve">Physician, Tech Entrepreneur, and Founder</w:t>
            </w:r>
          </w:p>
        </w:tc>
      </w:tr>
      <w:tr>
        <w:tc>
          <w:tcPr>
            <w:tcW w:type="dxa" w:w="23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pPr>
              <w:spacing w:after="120"/>
            </w:pPr>
            <w:r>
              <w:rPr>
                <w:rFonts w:ascii="Arial" w:cs="Arial" w:eastAsia="Arial" w:hAnsi="Arial"/>
                <w:b/>
                <w:bCs/>
                <w:caps/>
                <w:color w:val="64748B"/>
                <w:sz w:val="18"/>
                <w:szCs w:val="18"/>
              </w:rPr>
              <w:t xml:space="preserve">Company</w:t>
            </w:r>
          </w:p>
        </w:tc>
        <w:tc>
          <w:tcPr>
            <w:tcW w:type="dxa" w:w="70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0"/>
                <w:szCs w:val="20"/>
              </w:rPr>
              <w:t xml:space="preserve">BRAINSAIT LTD</w:t>
            </w:r>
          </w:p>
        </w:tc>
      </w:tr>
      <w:tr>
        <w:tc>
          <w:tcPr>
            <w:tcW w:type="dxa" w:w="23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pPr>
              <w:spacing w:after="120"/>
            </w:pPr>
            <w:r>
              <w:rPr>
                <w:rFonts w:ascii="Arial" w:cs="Arial" w:eastAsia="Arial" w:hAnsi="Arial"/>
                <w:b/>
                <w:bCs/>
                <w:caps/>
                <w:color w:val="64748B"/>
                <w:sz w:val="18"/>
                <w:szCs w:val="18"/>
              </w:rPr>
              <w:t xml:space="preserve">Location</w:t>
            </w:r>
          </w:p>
        </w:tc>
        <w:tc>
          <w:tcPr>
            <w:tcW w:type="dxa" w:w="70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0"/>
                <w:szCs w:val="20"/>
              </w:rPr>
              <w:t xml:space="preserve">Riyadh, Saudi Arabia</w:t>
            </w:r>
          </w:p>
        </w:tc>
      </w:tr>
      <w:tr>
        <w:tc>
          <w:tcPr>
            <w:tcW w:type="dxa" w:w="23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pPr>
              <w:spacing w:after="120"/>
            </w:pPr>
            <w:r>
              <w:rPr>
                <w:rFonts w:ascii="Arial" w:cs="Arial" w:eastAsia="Arial" w:hAnsi="Arial"/>
                <w:b/>
                <w:bCs/>
                <w:caps/>
                <w:color w:val="64748B"/>
                <w:sz w:val="18"/>
                <w:szCs w:val="18"/>
              </w:rPr>
              <w:t xml:space="preserve">LinkedIn</w:t>
            </w:r>
          </w:p>
        </w:tc>
        <w:tc>
          <w:tcPr>
            <w:tcW w:type="dxa" w:w="70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0"/>
                <w:szCs w:val="20"/>
              </w:rPr>
              <w:t xml:space="preserve">https://linkedin.com/in/fadil369</w:t>
            </w:r>
          </w:p>
        </w:tc>
      </w:tr>
      <w:tr>
        <w:tc>
          <w:tcPr>
            <w:tcW w:type="dxa" w:w="23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pPr>
              <w:spacing w:after="120"/>
            </w:pPr>
            <w:r>
              <w:rPr>
                <w:rFonts w:ascii="Arial" w:cs="Arial" w:eastAsia="Arial" w:hAnsi="Arial"/>
                <w:b/>
                <w:bCs/>
                <w:caps/>
                <w:color w:val="64748B"/>
                <w:sz w:val="18"/>
                <w:szCs w:val="18"/>
              </w:rPr>
              <w:t xml:space="preserve">X / Twitter</w:t>
            </w:r>
          </w:p>
        </w:tc>
        <w:tc>
          <w:tcPr>
            <w:tcW w:type="dxa" w:w="70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0"/>
                <w:szCs w:val="20"/>
              </w:rPr>
              <w:t xml:space="preserve">https://x.com/brainsait369</w:t>
            </w:r>
          </w:p>
        </w:tc>
      </w:tr>
      <w:tr>
        <w:tc>
          <w:tcPr>
            <w:tcW w:type="dxa" w:w="23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pPr>
              <w:spacing w:after="120"/>
            </w:pPr>
            <w:r>
              <w:rPr>
                <w:rFonts w:ascii="Arial" w:cs="Arial" w:eastAsia="Arial" w:hAnsi="Arial"/>
                <w:b/>
                <w:bCs/>
                <w:caps/>
                <w:color w:val="64748B"/>
                <w:sz w:val="18"/>
                <w:szCs w:val="18"/>
              </w:rPr>
              <w:t xml:space="preserve">GitHub</w:t>
            </w:r>
          </w:p>
        </w:tc>
        <w:tc>
          <w:tcPr>
            <w:tcW w:type="dxa" w:w="70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0"/>
                <w:szCs w:val="20"/>
              </w:rPr>
              <w:t xml:space="preserve">https://github.com/fadil369</w:t>
            </w:r>
          </w:p>
        </w:tc>
      </w:tr>
      <w:tr>
        <w:tc>
          <w:tcPr>
            <w:tcW w:type="dxa" w:w="23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pPr>
              <w:spacing w:after="120"/>
            </w:pPr>
            <w:r>
              <w:rPr>
                <w:rFonts w:ascii="Arial" w:cs="Arial" w:eastAsia="Arial" w:hAnsi="Arial"/>
                <w:b/>
                <w:bCs/>
                <w:caps/>
                <w:color w:val="64748B"/>
                <w:sz w:val="18"/>
                <w:szCs w:val="18"/>
              </w:rPr>
              <w:t xml:space="preserve">Calendly</w:t>
            </w:r>
          </w:p>
        </w:tc>
        <w:tc>
          <w:tcPr>
            <w:tcW w:type="dxa" w:w="70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0"/>
                <w:szCs w:val="20"/>
              </w:rPr>
              <w:t xml:space="preserve">https://calendly.com/fadil369</w:t>
            </w:r>
          </w:p>
        </w:tc>
      </w:tr>
    </w:tbl>
    <w:p>
      <w:pPr>
        <w:spacing w:after="60"/>
      </w:pPr>
    </w:p>
    <w:p>
      <w:pPr>
        <w:spacing w:after="120"/>
      </w:pPr>
      <w:r>
        <w:rPr>
          <w:rFonts w:ascii="Arial" w:cs="Arial" w:eastAsia="Arial" w:hAnsi="Arial"/>
          <w:color w:val="333333"/>
          <w:sz w:val="20"/>
          <w:szCs w:val="20"/>
        </w:rPr>
        <w:t xml:space="preserve">"Dr. Mohamed El Fadil operates at the intersection of healthcare, business, and technology. He focuses on artificial intelligence, digital transformation, and innovation systems that convert collective expertise into practical, scalable products."</w:t>
      </w:r>
    </w:p>
    <w:p>
      <w:pPr>
        <w:pBdr>
          <w:bottom w:val="single" w:color="F1F5F9" w:sz="2" w:space="4"/>
        </w:pBdr>
        <w:spacing w:after="200" w:before="200"/>
      </w:pPr>
    </w:p>
    <w:p>
      <w:pPr>
        <w:pStyle w:val="Heading1"/>
        <w:pBdr>
          <w:bottom w:val="single" w:color="0EA5E9" w:sz="4" w:space="4"/>
        </w:pBdr>
        <w:spacing w:after="200" w:before="480"/>
      </w:pPr>
      <w:r>
        <w:rPr>
          <w:rFonts w:ascii="Arial" w:cs="Arial" w:eastAsia="Arial" w:hAnsi="Arial"/>
          <w:b/>
          <w:bCs/>
          <w:color w:val="1A365D"/>
          <w:sz w:val="36"/>
          <w:szCs w:val="36"/>
        </w:rPr>
        <w:t xml:space="preserve">Part 3 — Course 2: NPHIES-AI Mastery</w:t>
      </w:r>
    </w:p>
    <w:p>
      <w:pPr>
        <w:pStyle w:val="Heading2"/>
        <w:spacing w:after="160" w:before="360"/>
      </w:pPr>
      <w:r>
        <w:rPr>
          <w:rFonts w:ascii="Arial" w:cs="Arial" w:eastAsia="Arial" w:hAnsi="Arial"/>
          <w:b/>
          <w:bCs/>
          <w:color w:val="2B6CB8"/>
          <w:sz w:val="28"/>
          <w:szCs w:val="28"/>
        </w:rPr>
        <w:t xml:space="preserve">Course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pPr>
              <w:spacing w:after="120"/>
            </w:pPr>
            <w:r>
              <w:rPr>
                <w:rFonts w:ascii="Arial" w:cs="Arial" w:eastAsia="Arial" w:hAnsi="Arial"/>
                <w:b/>
                <w:bCs/>
                <w:caps/>
                <w:color w:val="64748B"/>
                <w:sz w:val="18"/>
                <w:szCs w:val="18"/>
              </w:rPr>
              <w:t xml:space="preserve">Slug</w:t>
            </w:r>
          </w:p>
        </w:tc>
        <w:tc>
          <w:tcPr>
            <w:tcW w:type="dxa" w:w="70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0"/>
                <w:szCs w:val="20"/>
              </w:rPr>
              <w:t xml:space="preserve">nphies-ai-mastery</w:t>
            </w:r>
          </w:p>
        </w:tc>
      </w:tr>
      <w:tr>
        <w:tc>
          <w:tcPr>
            <w:tcW w:type="dxa" w:w="23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pPr>
              <w:spacing w:after="120"/>
            </w:pPr>
            <w:r>
              <w:rPr>
                <w:rFonts w:ascii="Arial" w:cs="Arial" w:eastAsia="Arial" w:hAnsi="Arial"/>
                <w:b/>
                <w:bCs/>
                <w:caps/>
                <w:color w:val="64748B"/>
                <w:sz w:val="18"/>
                <w:szCs w:val="18"/>
              </w:rPr>
              <w:t xml:space="preserve">Badge / Status</w:t>
            </w:r>
          </w:p>
        </w:tc>
        <w:tc>
          <w:tcPr>
            <w:tcW w:type="dxa" w:w="70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0"/>
                <w:szCs w:val="20"/>
              </w:rPr>
              <w:t xml:space="preserve">Registration Now Open</w:t>
            </w:r>
          </w:p>
        </w:tc>
      </w:tr>
      <w:tr>
        <w:tc>
          <w:tcPr>
            <w:tcW w:type="dxa" w:w="23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pPr>
              <w:spacing w:after="120"/>
            </w:pPr>
            <w:r>
              <w:rPr>
                <w:rFonts w:ascii="Arial" w:cs="Arial" w:eastAsia="Arial" w:hAnsi="Arial"/>
                <w:b/>
                <w:bCs/>
                <w:caps/>
                <w:color w:val="64748B"/>
                <w:sz w:val="18"/>
                <w:szCs w:val="18"/>
              </w:rPr>
              <w:t xml:space="preserve">Track</w:t>
            </w:r>
          </w:p>
        </w:tc>
        <w:tc>
          <w:tcPr>
            <w:tcW w:type="dxa" w:w="70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0"/>
                <w:szCs w:val="20"/>
              </w:rPr>
              <w:t xml:space="preserve">Advanced Track</w:t>
            </w:r>
          </w:p>
        </w:tc>
      </w:tr>
      <w:tr>
        <w:tc>
          <w:tcPr>
            <w:tcW w:type="dxa" w:w="23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pPr>
              <w:spacing w:after="120"/>
            </w:pPr>
            <w:r>
              <w:rPr>
                <w:rFonts w:ascii="Arial" w:cs="Arial" w:eastAsia="Arial" w:hAnsi="Arial"/>
                <w:b/>
                <w:bCs/>
                <w:caps/>
                <w:color w:val="64748B"/>
                <w:sz w:val="18"/>
                <w:szCs w:val="18"/>
              </w:rPr>
              <w:t xml:space="preserve">Format</w:t>
            </w:r>
          </w:p>
        </w:tc>
        <w:tc>
          <w:tcPr>
            <w:tcW w:type="dxa" w:w="70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0"/>
                <w:szCs w:val="20"/>
              </w:rPr>
              <w:t xml:space="preserve">Google Classroom + guided implementation</w:t>
            </w:r>
          </w:p>
        </w:tc>
      </w:tr>
      <w:tr>
        <w:tc>
          <w:tcPr>
            <w:tcW w:type="dxa" w:w="23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pPr>
              <w:spacing w:after="120"/>
            </w:pPr>
            <w:r>
              <w:rPr>
                <w:rFonts w:ascii="Arial" w:cs="Arial" w:eastAsia="Arial" w:hAnsi="Arial"/>
                <w:b/>
                <w:bCs/>
                <w:caps/>
                <w:color w:val="64748B"/>
                <w:sz w:val="18"/>
                <w:szCs w:val="18"/>
              </w:rPr>
              <w:t xml:space="preserve">Duration</w:t>
            </w:r>
          </w:p>
        </w:tc>
        <w:tc>
          <w:tcPr>
            <w:tcW w:type="dxa" w:w="70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0"/>
                <w:szCs w:val="20"/>
              </w:rPr>
              <w:t xml:space="preserve">Cohort-based with self-paced materials</w:t>
            </w:r>
          </w:p>
        </w:tc>
      </w:tr>
      <w:tr>
        <w:tc>
          <w:tcPr>
            <w:tcW w:type="dxa" w:w="23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pPr>
              <w:spacing w:after="120"/>
            </w:pPr>
            <w:r>
              <w:rPr>
                <w:rFonts w:ascii="Arial" w:cs="Arial" w:eastAsia="Arial" w:hAnsi="Arial"/>
                <w:b/>
                <w:bCs/>
                <w:caps/>
                <w:color w:val="64748B"/>
                <w:sz w:val="18"/>
                <w:szCs w:val="18"/>
              </w:rPr>
              <w:t xml:space="preserve">Level / Audience</w:t>
            </w:r>
          </w:p>
        </w:tc>
        <w:tc>
          <w:tcPr>
            <w:tcW w:type="dxa" w:w="70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0"/>
                <w:szCs w:val="20"/>
              </w:rPr>
              <w:t xml:space="preserve">Healthcare IT teams, RCM operators, NPHIES implementers</w:t>
            </w:r>
          </w:p>
        </w:tc>
      </w:tr>
      <w:tr>
        <w:tc>
          <w:tcPr>
            <w:tcW w:type="dxa" w:w="23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pPr>
              <w:spacing w:after="120"/>
            </w:pPr>
            <w:r>
              <w:rPr>
                <w:rFonts w:ascii="Arial" w:cs="Arial" w:eastAsia="Arial" w:hAnsi="Arial"/>
                <w:b/>
                <w:bCs/>
                <w:caps/>
                <w:color w:val="64748B"/>
                <w:sz w:val="18"/>
                <w:szCs w:val="18"/>
              </w:rPr>
              <w:t xml:space="preserve">Classroom URL</w:t>
            </w:r>
          </w:p>
        </w:tc>
        <w:tc>
          <w:tcPr>
            <w:tcW w:type="dxa" w:w="70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0"/>
                <w:szCs w:val="20"/>
              </w:rPr>
              <w:t xml:space="preserve">https://classroom.google.com/c/ODYwNTAyNzAzMTky?cjc=pohzx7a6</w:t>
            </w:r>
          </w:p>
        </w:tc>
      </w:tr>
      <w:tr>
        <w:tc>
          <w:tcPr>
            <w:tcW w:type="dxa" w:w="23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pPr>
              <w:spacing w:after="120"/>
            </w:pPr>
            <w:r>
              <w:rPr>
                <w:rFonts w:ascii="Arial" w:cs="Arial" w:eastAsia="Arial" w:hAnsi="Arial"/>
                <w:b/>
                <w:bCs/>
                <w:caps/>
                <w:color w:val="64748B"/>
                <w:sz w:val="18"/>
                <w:szCs w:val="18"/>
              </w:rPr>
              <w:t xml:space="preserve">Class Code</w:t>
            </w:r>
          </w:p>
        </w:tc>
        <w:tc>
          <w:tcPr>
            <w:tcW w:type="dxa" w:w="70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0"/>
                <w:szCs w:val="20"/>
              </w:rPr>
              <w:t xml:space="preserve">pohzx7a6</w:t>
            </w:r>
          </w:p>
        </w:tc>
      </w:tr>
    </w:tbl>
    <w:p>
      <w:pPr>
        <w:spacing w:after="60"/>
      </w:pPr>
    </w:p>
    <w:p>
      <w:pPr>
        <w:pStyle w:val="Heading2"/>
        <w:spacing w:after="160" w:before="360"/>
      </w:pPr>
      <w:r>
        <w:rPr>
          <w:rFonts w:ascii="Arial" w:cs="Arial" w:eastAsia="Arial" w:hAnsi="Arial"/>
          <w:b/>
          <w:bCs/>
          <w:color w:val="2B6CB8"/>
          <w:sz w:val="28"/>
          <w:szCs w:val="28"/>
        </w:rPr>
        <w:t xml:space="preserve">Course Title &amp; Description</w:t>
      </w:r>
    </w:p>
    <w:p>
      <w:pPr>
        <w:pStyle w:val="Heading3"/>
        <w:spacing w:after="120" w:before="240"/>
      </w:pPr>
      <w:r>
        <w:rPr>
          <w:rFonts w:ascii="Arial" w:cs="Arial" w:eastAsia="Arial" w:hAnsi="Arial"/>
          <w:b/>
          <w:bCs/>
          <w:color w:val="1A365D"/>
          <w:sz w:val="24"/>
          <w:szCs w:val="24"/>
        </w:rPr>
        <w:t xml:space="preserve">Page Title</w:t>
      </w:r>
    </w:p>
    <w:p>
      <w:pPr>
        <w:spacing w:after="120"/>
      </w:pPr>
      <w:r>
        <w:rPr>
          <w:rFonts w:ascii="Arial" w:cs="Arial" w:eastAsia="Arial" w:hAnsi="Arial"/>
          <w:b/>
          <w:bCs/>
          <w:color w:val="1A365D"/>
          <w:sz w:val="22"/>
          <w:szCs w:val="22"/>
        </w:rPr>
        <w:t xml:space="preserve">NPHIES-AI Mastery | BrainSAIT Training</w:t>
      </w:r>
    </w:p>
    <w:p>
      <w:pPr>
        <w:pStyle w:val="Heading3"/>
        <w:spacing w:after="120" w:before="240"/>
      </w:pPr>
      <w:r>
        <w:rPr>
          <w:rFonts w:ascii="Arial" w:cs="Arial" w:eastAsia="Arial" w:hAnsi="Arial"/>
          <w:b/>
          <w:bCs/>
          <w:color w:val="1A365D"/>
          <w:sz w:val="24"/>
          <w:szCs w:val="24"/>
        </w:rPr>
        <w:t xml:space="preserve">Meta Description</w:t>
      </w:r>
    </w:p>
    <w:p>
      <w:pPr>
        <w:spacing w:after="120"/>
      </w:pPr>
      <w:r>
        <w:rPr>
          <w:rFonts w:ascii="Arial" w:cs="Arial" w:eastAsia="Arial" w:hAnsi="Arial"/>
          <w:color w:val="333333"/>
          <w:sz w:val="20"/>
          <w:szCs w:val="20"/>
        </w:rPr>
        <w:t xml:space="preserve">AI-driven NPHIES claims automation, FHIR R4 integration, and Oracle bridge for Saudi healthcare teams.</w:t>
      </w:r>
    </w:p>
    <w:p>
      <w:pPr>
        <w:pStyle w:val="Heading3"/>
        <w:spacing w:after="120" w:before="240"/>
      </w:pPr>
      <w:r>
        <w:rPr>
          <w:rFonts w:ascii="Arial" w:cs="Arial" w:eastAsia="Arial" w:hAnsi="Arial"/>
          <w:b/>
          <w:bCs/>
          <w:color w:val="1A365D"/>
          <w:sz w:val="24"/>
          <w:szCs w:val="24"/>
        </w:rPr>
        <w:t xml:space="preserve">Hero Subtitle</w:t>
      </w:r>
    </w:p>
    <w:p>
      <w:pPr>
        <w:spacing w:after="120"/>
      </w:pPr>
      <w:r>
        <w:rPr>
          <w:rFonts w:ascii="Arial" w:cs="Arial" w:eastAsia="Arial" w:hAnsi="Arial"/>
          <w:color w:val="333333"/>
          <w:sz w:val="20"/>
          <w:szCs w:val="20"/>
        </w:rPr>
        <w:t xml:space="preserve">AI-driven NPHIES claims automation, FHIR R4 integration, and Oracle bridge for Saudi healthcare teams.</w:t>
      </w:r>
    </w:p>
    <w:p>
      <w:pPr>
        <w:pStyle w:val="Heading3"/>
        <w:spacing w:after="120" w:before="240"/>
      </w:pPr>
      <w:r>
        <w:rPr>
          <w:rFonts w:ascii="Arial" w:cs="Arial" w:eastAsia="Arial" w:hAnsi="Arial"/>
          <w:b/>
          <w:bCs/>
          <w:color w:val="1A365D"/>
          <w:sz w:val="24"/>
          <w:szCs w:val="24"/>
        </w:rPr>
        <w:t xml:space="preserve">Full Description</w:t>
      </w:r>
    </w:p>
    <w:p>
      <w:pPr>
        <w:spacing w:after="120"/>
      </w:pPr>
      <w:r>
        <w:rPr>
          <w:rFonts w:ascii="Arial" w:cs="Arial" w:eastAsia="Arial" w:hAnsi="Arial"/>
          <w:color w:val="333333"/>
          <w:sz w:val="20"/>
          <w:szCs w:val="20"/>
        </w:rPr>
        <w:t xml:space="preserve">This course is designed specifically for Saudi healthcare teams who need to operationalise NPHIES compliance using AI-powered automation. It covers FHIR R4 integration pipelines, real-time claims validation, Oracle ERP bridging, and full compliance workflows — all framed around practical deployment with BrainSAIT's ClaimLinc ecosystem.</w:t>
      </w:r>
    </w:p>
    <w:p>
      <w:pPr>
        <w:spacing w:after="60"/>
      </w:pPr>
    </w:p>
    <w:p>
      <w:pPr>
        <w:pStyle w:val="Heading2"/>
        <w:spacing w:after="160" w:before="360"/>
      </w:pPr>
      <w:r>
        <w:rPr>
          <w:rFonts w:ascii="Arial" w:cs="Arial" w:eastAsia="Arial" w:hAnsi="Arial"/>
          <w:b/>
          <w:bCs/>
          <w:color w:val="2B6CB8"/>
          <w:sz w:val="28"/>
          <w:szCs w:val="28"/>
        </w:rPr>
        <w:t xml:space="preserve">Focus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sz w:val="28"/>
                <w:szCs w:val="28"/>
              </w:rPr>
              <w:t xml:space="preserve">⚡  </w:t>
            </w:r>
            <w:r>
              <w:rPr>
                <w:rFonts w:ascii="Arial" w:cs="Arial" w:eastAsia="Arial" w:hAnsi="Arial"/>
                <w:b/>
                <w:bCs/>
                <w:color w:val="1A365D"/>
                <w:sz w:val="20"/>
                <w:szCs w:val="20"/>
              </w:rPr>
              <w:t xml:space="preserve">Automated Solutions</w:t>
            </w:r>
          </w:p>
          <w:p>
            <w:pPr>
              <w:spacing w:after="120"/>
            </w:pPr>
            <w:r>
              <w:rPr>
                <w:rFonts w:ascii="Arial" w:cs="Arial" w:eastAsia="Arial" w:hAnsi="Arial"/>
                <w:color w:val="333333"/>
                <w:sz w:val="20"/>
                <w:szCs w:val="20"/>
              </w:rPr>
              <w:t xml:space="preserve">Leverage AI and ML to streamline clinical and operational NPHIES workflows efficiently.</w:t>
            </w:r>
          </w:p>
        </w:tc>
        <w:tc>
          <w:tcPr>
            <w:tcW w:type="dxa" w:w="31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sz w:val="28"/>
                <w:szCs w:val="28"/>
              </w:rPr>
              <w:t xml:space="preserve">🔗  </w:t>
            </w:r>
            <w:r>
              <w:rPr>
                <w:rFonts w:ascii="Arial" w:cs="Arial" w:eastAsia="Arial" w:hAnsi="Arial"/>
                <w:b/>
                <w:bCs/>
                <w:color w:val="1A365D"/>
                <w:sz w:val="20"/>
                <w:szCs w:val="20"/>
              </w:rPr>
              <w:t xml:space="preserve">Integrated Systems</w:t>
            </w:r>
          </w:p>
          <w:p>
            <w:pPr>
              <w:spacing w:after="120"/>
            </w:pPr>
            <w:r>
              <w:rPr>
                <w:rFonts w:ascii="Arial" w:cs="Arial" w:eastAsia="Arial" w:hAnsi="Arial"/>
                <w:color w:val="333333"/>
                <w:sz w:val="20"/>
                <w:szCs w:val="20"/>
              </w:rPr>
              <w:t xml:space="preserve">Bridge healthcare requirements through FHIR R4 interoperability and Oracle ERP connectivity.</w:t>
            </w:r>
          </w:p>
        </w:tc>
        <w:tc>
          <w:tcPr>
            <w:tcW w:type="dxa" w:w="312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sz w:val="28"/>
                <w:szCs w:val="28"/>
              </w:rPr>
              <w:t xml:space="preserve">📈  </w:t>
            </w:r>
            <w:r>
              <w:rPr>
                <w:rFonts w:ascii="Arial" w:cs="Arial" w:eastAsia="Arial" w:hAnsi="Arial"/>
                <w:b/>
                <w:bCs/>
                <w:color w:val="1A365D"/>
                <w:sz w:val="20"/>
                <w:szCs w:val="20"/>
              </w:rPr>
              <w:t xml:space="preserve">Tech-Driven Growth</w:t>
            </w:r>
          </w:p>
          <w:p>
            <w:pPr>
              <w:spacing w:after="120"/>
            </w:pPr>
            <w:r>
              <w:rPr>
                <w:rFonts w:ascii="Arial" w:cs="Arial" w:eastAsia="Arial" w:hAnsi="Arial"/>
                <w:color w:val="333333"/>
                <w:sz w:val="20"/>
                <w:szCs w:val="20"/>
              </w:rPr>
              <w:t xml:space="preserve">Master scalable NPHIES automation deployments for enterprise Saudi healthcare providers.</w:t>
            </w:r>
          </w:p>
        </w:tc>
      </w:tr>
    </w:tbl>
    <w:p>
      <w:pPr>
        <w:spacing w:after="60"/>
      </w:pPr>
    </w:p>
    <w:p>
      <w:pPr>
        <w:pStyle w:val="Heading2"/>
        <w:spacing w:after="160" w:before="360"/>
      </w:pPr>
      <w:r>
        <w:rPr>
          <w:rFonts w:ascii="Arial" w:cs="Arial" w:eastAsia="Arial" w:hAnsi="Arial"/>
          <w:b/>
          <w:bCs/>
          <w:color w:val="2B6CB8"/>
          <w:sz w:val="28"/>
          <w:szCs w:val="28"/>
        </w:rPr>
        <w:t xml:space="preserve">Curriculum — 4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A5E9" w:val="clear"/>
            <w:tcMar>
              <w:top w:type="dxa" w:w="100"/>
              <w:left w:type="dxa" w:w="150"/>
              <w:bottom w:type="dxa" w:w="100"/>
              <w:right w:type="dxa" w:w="150"/>
            </w:tcMar>
          </w:tcPr>
          <w:p>
            <w:pPr>
              <w:spacing w:after="120"/>
              <w:jc w:val="center"/>
            </w:pPr>
            <w:r>
              <w:rPr>
                <w:rFonts w:ascii="Arial" w:cs="Arial" w:eastAsia="Arial" w:hAnsi="Arial"/>
                <w:b/>
                <w:bCs/>
                <w:color w:val="FFFFFF"/>
                <w:sz w:val="28"/>
                <w:szCs w:val="28"/>
              </w:rPr>
              <w:t xml:space="preserve">1</w:t>
            </w:r>
          </w:p>
        </w:tc>
        <w:tc>
          <w:tcPr>
            <w:tcW w:type="dxa" w:w="864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2"/>
                <w:szCs w:val="22"/>
              </w:rPr>
              <w:t xml:space="preserve">Collective Brainpower Foundations</w:t>
            </w:r>
          </w:p>
          <w:p>
            <w:pPr>
              <w:spacing w:after="120"/>
            </w:pPr>
            <w:r>
              <w:rPr>
                <w:rFonts w:ascii="Arial" w:cs="Arial" w:eastAsia="Arial" w:hAnsi="Arial"/>
                <w:color w:val="333333"/>
                <w:sz w:val="20"/>
                <w:szCs w:val="20"/>
              </w:rPr>
              <w:t xml:space="preserve">Build a decision-making model that aligns physicians, operators, founders, and technical teams around a shared digital roadmap.</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A5E9" w:val="clear"/>
            <w:tcMar>
              <w:top w:type="dxa" w:w="100"/>
              <w:left w:type="dxa" w:w="150"/>
              <w:bottom w:type="dxa" w:w="100"/>
              <w:right w:type="dxa" w:w="150"/>
            </w:tcMar>
          </w:tcPr>
          <w:p>
            <w:pPr>
              <w:spacing w:after="120"/>
              <w:jc w:val="center"/>
            </w:pPr>
            <w:r>
              <w:rPr>
                <w:rFonts w:ascii="Arial" w:cs="Arial" w:eastAsia="Arial" w:hAnsi="Arial"/>
                <w:b/>
                <w:bCs/>
                <w:color w:val="FFFFFF"/>
                <w:sz w:val="28"/>
                <w:szCs w:val="28"/>
              </w:rPr>
              <w:t xml:space="preserve">2</w:t>
            </w:r>
          </w:p>
        </w:tc>
        <w:tc>
          <w:tcPr>
            <w:tcW w:type="dxa" w:w="864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2"/>
                <w:szCs w:val="22"/>
              </w:rPr>
              <w:t xml:space="preserve">Automation in Healthcare Operations</w:t>
            </w:r>
          </w:p>
          <w:p>
            <w:pPr>
              <w:spacing w:after="120"/>
            </w:pPr>
            <w:r>
              <w:rPr>
                <w:rFonts w:ascii="Arial" w:cs="Arial" w:eastAsia="Arial" w:hAnsi="Arial"/>
                <w:color w:val="333333"/>
                <w:sz w:val="20"/>
                <w:szCs w:val="20"/>
              </w:rPr>
              <w:t xml:space="preserve">Identify high-leverage automation opportunities across patient journeys, compliance workflows, analytics, and back-office execution.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A5E9" w:val="clear"/>
            <w:tcMar>
              <w:top w:type="dxa" w:w="100"/>
              <w:left w:type="dxa" w:w="150"/>
              <w:bottom w:type="dxa" w:w="100"/>
              <w:right w:type="dxa" w:w="150"/>
            </w:tcMar>
          </w:tcPr>
          <w:p>
            <w:pPr>
              <w:spacing w:after="120"/>
              <w:jc w:val="center"/>
            </w:pPr>
            <w:r>
              <w:rPr>
                <w:rFonts w:ascii="Arial" w:cs="Arial" w:eastAsia="Arial" w:hAnsi="Arial"/>
                <w:b/>
                <w:bCs/>
                <w:color w:val="FFFFFF"/>
                <w:sz w:val="28"/>
                <w:szCs w:val="28"/>
              </w:rPr>
              <w:t xml:space="preserve">3</w:t>
            </w:r>
          </w:p>
        </w:tc>
        <w:tc>
          <w:tcPr>
            <w:tcW w:type="dxa" w:w="864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2"/>
                <w:szCs w:val="22"/>
              </w:rPr>
              <w:t xml:space="preserve">Integrated Digital Health Systems</w:t>
            </w:r>
          </w:p>
          <w:p>
            <w:pPr>
              <w:spacing w:after="120"/>
            </w:pPr>
            <w:r>
              <w:rPr>
                <w:rFonts w:ascii="Arial" w:cs="Arial" w:eastAsia="Arial" w:hAnsi="Arial"/>
                <w:color w:val="333333"/>
                <w:sz w:val="20"/>
                <w:szCs w:val="20"/>
              </w:rPr>
              <w:t xml:space="preserve">Design interoperable systems that connect clinical requirements, data contracts, AI services, and business processes.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A5E9" w:val="clear"/>
            <w:tcMar>
              <w:top w:type="dxa" w:w="100"/>
              <w:left w:type="dxa" w:w="150"/>
              <w:bottom w:type="dxa" w:w="100"/>
              <w:right w:type="dxa" w:w="150"/>
            </w:tcMar>
          </w:tcPr>
          <w:p>
            <w:pPr>
              <w:spacing w:after="120"/>
              <w:jc w:val="center"/>
            </w:pPr>
            <w:r>
              <w:rPr>
                <w:rFonts w:ascii="Arial" w:cs="Arial" w:eastAsia="Arial" w:hAnsi="Arial"/>
                <w:b/>
                <w:bCs/>
                <w:color w:val="FFFFFF"/>
                <w:sz w:val="28"/>
                <w:szCs w:val="28"/>
              </w:rPr>
              <w:t xml:space="preserve">4</w:t>
            </w:r>
          </w:p>
        </w:tc>
        <w:tc>
          <w:tcPr>
            <w:tcW w:type="dxa" w:w="8640"/>
            <w:tcBorders>
              <w:top w:val="single" w:color="E2E8F0" w:sz="1"/>
              <w:left w:val="single" w:color="E2E8F0" w:sz="1"/>
              <w:bottom w:val="single" w:color="E2E8F0" w:sz="1"/>
              <w:right w:val="single" w:color="E2E8F0" w:sz="1"/>
            </w:tcBorders>
            <w:tcMar>
              <w:top w:type="dxa" w:w="100"/>
              <w:left w:type="dxa" w:w="150"/>
              <w:bottom w:type="dxa" w:w="100"/>
              <w:right w:type="dxa" w:w="150"/>
            </w:tcMar>
          </w:tcPr>
          <w:p>
            <w:pPr>
              <w:spacing w:after="120"/>
            </w:pPr>
            <w:r>
              <w:rPr>
                <w:rFonts w:ascii="Arial" w:cs="Arial" w:eastAsia="Arial" w:hAnsi="Arial"/>
                <w:b/>
                <w:bCs/>
                <w:color w:val="1A365D"/>
                <w:sz w:val="22"/>
                <w:szCs w:val="22"/>
              </w:rPr>
              <w:t xml:space="preserve">AI Strategy for Health-Tech Growth</w:t>
            </w:r>
          </w:p>
          <w:p>
            <w:pPr>
              <w:spacing w:after="120"/>
            </w:pPr>
            <w:r>
              <w:rPr>
                <w:rFonts w:ascii="Arial" w:cs="Arial" w:eastAsia="Arial" w:hAnsi="Arial"/>
                <w:color w:val="333333"/>
                <w:sz w:val="20"/>
                <w:szCs w:val="20"/>
              </w:rPr>
              <w:t xml:space="preserve">Translate AI capabilities into product strategy, founder positioning, and scalable market execution for healthcare ventures.</w:t>
            </w:r>
          </w:p>
        </w:tc>
      </w:tr>
    </w:tbl>
    <w:p>
      <w:pPr>
        <w:spacing w:after="60"/>
      </w:pPr>
    </w:p>
    <w:p>
      <w:pPr>
        <w:pStyle w:val="Heading2"/>
        <w:spacing w:after="160" w:before="360"/>
      </w:pPr>
      <w:r>
        <w:rPr>
          <w:rFonts w:ascii="Arial" w:cs="Arial" w:eastAsia="Arial" w:hAnsi="Arial"/>
          <w:b/>
          <w:bCs/>
          <w:color w:val="2B6CB8"/>
          <w:sz w:val="28"/>
          <w:szCs w:val="28"/>
        </w:rPr>
        <w:t xml:space="preserve">Learning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0FDFF" w:val="clear"/>
            <w:tcMar>
              <w:top w:type="dxa" w:w="100"/>
              <w:left w:type="dxa" w:w="150"/>
              <w:bottom w:type="dxa" w:w="100"/>
              <w:right w:type="dxa" w:w="150"/>
            </w:tcMar>
          </w:tcPr>
          <w:p>
            <w:pPr>
              <w:spacing w:after="120"/>
              <w:jc w:val="center"/>
            </w:pPr>
            <w:r>
              <w:rPr>
                <w:rFonts w:ascii="Arial" w:cs="Arial" w:eastAsia="Arial" w:hAnsi="Arial"/>
                <w:b/>
                <w:bCs/>
                <w:color w:val="0EA5E9"/>
                <w:sz w:val="22"/>
                <w:szCs w:val="22"/>
              </w:rPr>
              <w:t xml:space="preserve">✓</w:t>
            </w:r>
          </w:p>
        </w:tc>
        <w:tc>
          <w:tcPr>
            <w:tcW w:type="dxa" w:w="8880"/>
            <w:tcBorders>
              <w:top w:val="none" w:color="FFFFFF" w:sz="0"/>
              <w:left w:val="none" w:color="FFFFFF" w:sz="0"/>
              <w:bottom w:val="none" w:color="FFFFFF" w:sz="0"/>
              <w:right w:val="none" w:color="FFFFFF" w:sz="0"/>
            </w:tcBorders>
            <w:tcMar>
              <w:top w:type="dxa" w:w="100"/>
              <w:left w:type="dxa" w:w="150"/>
              <w:bottom w:type="dxa" w:w="100"/>
              <w:right w:type="dxa" w:w="150"/>
            </w:tcMar>
          </w:tcPr>
          <w:p>
            <w:pPr>
              <w:spacing w:after="120"/>
            </w:pPr>
            <w:r>
              <w:rPr>
                <w:rFonts w:ascii="Arial" w:cs="Arial" w:eastAsia="Arial" w:hAnsi="Arial"/>
                <w:color w:val="333333"/>
                <w:sz w:val="20"/>
                <w:szCs w:val="20"/>
              </w:rPr>
              <w:t xml:space="preserve">Map automation opportunities across healthcare workflows and business operations.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0FDFF" w:val="clear"/>
            <w:tcMar>
              <w:top w:type="dxa" w:w="100"/>
              <w:left w:type="dxa" w:w="150"/>
              <w:bottom w:type="dxa" w:w="100"/>
              <w:right w:type="dxa" w:w="150"/>
            </w:tcMar>
          </w:tcPr>
          <w:p>
            <w:pPr>
              <w:spacing w:after="120"/>
              <w:jc w:val="center"/>
            </w:pPr>
            <w:r>
              <w:rPr>
                <w:rFonts w:ascii="Arial" w:cs="Arial" w:eastAsia="Arial" w:hAnsi="Arial"/>
                <w:b/>
                <w:bCs/>
                <w:color w:val="0EA5E9"/>
                <w:sz w:val="22"/>
                <w:szCs w:val="22"/>
              </w:rPr>
              <w:t xml:space="preserve">✓</w:t>
            </w:r>
          </w:p>
        </w:tc>
        <w:tc>
          <w:tcPr>
            <w:tcW w:type="dxa" w:w="8880"/>
            <w:tcBorders>
              <w:top w:val="none" w:color="FFFFFF" w:sz="0"/>
              <w:left w:val="none" w:color="FFFFFF" w:sz="0"/>
              <w:bottom w:val="none" w:color="FFFFFF" w:sz="0"/>
              <w:right w:val="none" w:color="FFFFFF" w:sz="0"/>
            </w:tcBorders>
            <w:tcMar>
              <w:top w:type="dxa" w:w="100"/>
              <w:left w:type="dxa" w:w="150"/>
              <w:bottom w:type="dxa" w:w="100"/>
              <w:right w:type="dxa" w:w="150"/>
            </w:tcMar>
          </w:tcPr>
          <w:p>
            <w:pPr>
              <w:spacing w:after="120"/>
            </w:pPr>
            <w:r>
              <w:rPr>
                <w:rFonts w:ascii="Arial" w:cs="Arial" w:eastAsia="Arial" w:hAnsi="Arial"/>
                <w:color w:val="333333"/>
                <w:sz w:val="20"/>
                <w:szCs w:val="20"/>
              </w:rPr>
              <w:t xml:space="preserve">Design interoperable digital systems that connect product, data, and service delivery.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0FDFF" w:val="clear"/>
            <w:tcMar>
              <w:top w:type="dxa" w:w="100"/>
              <w:left w:type="dxa" w:w="150"/>
              <w:bottom w:type="dxa" w:w="100"/>
              <w:right w:type="dxa" w:w="150"/>
            </w:tcMar>
          </w:tcPr>
          <w:p>
            <w:pPr>
              <w:spacing w:after="120"/>
              <w:jc w:val="center"/>
            </w:pPr>
            <w:r>
              <w:rPr>
                <w:rFonts w:ascii="Arial" w:cs="Arial" w:eastAsia="Arial" w:hAnsi="Arial"/>
                <w:b/>
                <w:bCs/>
                <w:color w:val="0EA5E9"/>
                <w:sz w:val="22"/>
                <w:szCs w:val="22"/>
              </w:rPr>
              <w:t xml:space="preserve">✓</w:t>
            </w:r>
          </w:p>
        </w:tc>
        <w:tc>
          <w:tcPr>
            <w:tcW w:type="dxa" w:w="8880"/>
            <w:tcBorders>
              <w:top w:val="none" w:color="FFFFFF" w:sz="0"/>
              <w:left w:val="none" w:color="FFFFFF" w:sz="0"/>
              <w:bottom w:val="none" w:color="FFFFFF" w:sz="0"/>
              <w:right w:val="none" w:color="FFFFFF" w:sz="0"/>
            </w:tcBorders>
            <w:tcMar>
              <w:top w:type="dxa" w:w="100"/>
              <w:left w:type="dxa" w:w="150"/>
              <w:bottom w:type="dxa" w:w="100"/>
              <w:right w:type="dxa" w:w="150"/>
            </w:tcMar>
          </w:tcPr>
          <w:p>
            <w:pPr>
              <w:spacing w:after="120"/>
            </w:pPr>
            <w:r>
              <w:rPr>
                <w:rFonts w:ascii="Arial" w:cs="Arial" w:eastAsia="Arial" w:hAnsi="Arial"/>
                <w:color w:val="333333"/>
                <w:sz w:val="20"/>
                <w:szCs w:val="20"/>
              </w:rPr>
              <w:t xml:space="preserve">Create an actionable AI adoption plan aligned with real startup or enterprise priorities.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0FDFF" w:val="clear"/>
            <w:tcMar>
              <w:top w:type="dxa" w:w="100"/>
              <w:left w:type="dxa" w:w="150"/>
              <w:bottom w:type="dxa" w:w="100"/>
              <w:right w:type="dxa" w:w="150"/>
            </w:tcMar>
          </w:tcPr>
          <w:p>
            <w:pPr>
              <w:spacing w:after="120"/>
              <w:jc w:val="center"/>
            </w:pPr>
            <w:r>
              <w:rPr>
                <w:rFonts w:ascii="Arial" w:cs="Arial" w:eastAsia="Arial" w:hAnsi="Arial"/>
                <w:b/>
                <w:bCs/>
                <w:color w:val="0EA5E9"/>
                <w:sz w:val="22"/>
                <w:szCs w:val="22"/>
              </w:rPr>
              <w:t xml:space="preserve">✓</w:t>
            </w:r>
          </w:p>
        </w:tc>
        <w:tc>
          <w:tcPr>
            <w:tcW w:type="dxa" w:w="8880"/>
            <w:tcBorders>
              <w:top w:val="none" w:color="FFFFFF" w:sz="0"/>
              <w:left w:val="none" w:color="FFFFFF" w:sz="0"/>
              <w:bottom w:val="none" w:color="FFFFFF" w:sz="0"/>
              <w:right w:val="none" w:color="FFFFFF" w:sz="0"/>
            </w:tcBorders>
            <w:tcMar>
              <w:top w:type="dxa" w:w="100"/>
              <w:left w:type="dxa" w:w="150"/>
              <w:bottom w:type="dxa" w:w="100"/>
              <w:right w:type="dxa" w:w="150"/>
            </w:tcMar>
          </w:tcPr>
          <w:p>
            <w:pPr>
              <w:spacing w:after="120"/>
            </w:pPr>
            <w:r>
              <w:rPr>
                <w:rFonts w:ascii="Arial" w:cs="Arial" w:eastAsia="Arial" w:hAnsi="Arial"/>
                <w:color w:val="333333"/>
                <w:sz w:val="20"/>
                <w:szCs w:val="20"/>
              </w:rPr>
              <w:t xml:space="preserve">Turn collective expertise into repeatable execution systems for growth and transformation.</w:t>
            </w:r>
          </w:p>
        </w:tc>
      </w:tr>
    </w:tbl>
    <w:p>
      <w:pPr>
        <w:spacing w:after="60"/>
      </w:pPr>
    </w:p>
    <w:p>
      <w:pPr>
        <w:pStyle w:val="Heading2"/>
        <w:spacing w:after="160" w:before="360"/>
      </w:pPr>
      <w:r>
        <w:rPr>
          <w:rFonts w:ascii="Arial" w:cs="Arial" w:eastAsia="Arial" w:hAnsi="Arial"/>
          <w:b/>
          <w:bCs/>
          <w:color w:val="2B6CB8"/>
          <w:sz w:val="28"/>
          <w:szCs w:val="28"/>
        </w:rPr>
        <w:t xml:space="preserve">Post-Cohort Consultation CTA</w:t>
      </w:r>
    </w:p>
    <w:p>
      <w:pPr>
        <w:spacing w:after="120"/>
      </w:pPr>
      <w:r>
        <w:rPr>
          <w:rFonts w:ascii="Arial" w:cs="Arial" w:eastAsia="Arial" w:hAnsi="Arial"/>
          <w:color w:val="333333"/>
          <w:sz w:val="20"/>
          <w:szCs w:val="20"/>
        </w:rPr>
        <w:t xml:space="preserve">"Book an implementation session with BrainSAIT to translate learning into live NPHIES deployments."</w:t>
      </w:r>
    </w:p>
    <w:p>
      <w:pPr>
        <w:spacing w:after="120"/>
      </w:pPr>
      <w:r>
        <w:rPr>
          <w:rFonts w:ascii="Arial" w:cs="Arial" w:eastAsia="Arial" w:hAnsi="Arial"/>
          <w:b/>
          <w:bCs/>
          <w:color w:val="1A365D"/>
          <w:sz w:val="20"/>
          <w:szCs w:val="20"/>
        </w:rPr>
        <w:t xml:space="preserve">CTA button: </w:t>
      </w:r>
      <w:r>
        <w:rPr>
          <w:rFonts w:ascii="Arial" w:cs="Arial" w:eastAsia="Arial" w:hAnsi="Arial"/>
          <w:color w:val="333333"/>
          <w:sz w:val="20"/>
          <w:szCs w:val="20"/>
        </w:rPr>
        <w:t xml:space="preserve">"Book consultation" → https://calendly.com/fadil369</w:t>
      </w:r>
    </w:p>
    <w:p>
      <w:pPr>
        <w:spacing w:after="60"/>
      </w:pPr>
    </w:p>
    <w:p>
      <w:pPr>
        <w:pStyle w:val="Heading2"/>
        <w:spacing w:after="160" w:before="360"/>
      </w:pPr>
      <w:r>
        <w:rPr>
          <w:rFonts w:ascii="Arial" w:cs="Arial" w:eastAsia="Arial" w:hAnsi="Arial"/>
          <w:b/>
          <w:bCs/>
          <w:color w:val="2B6CB8"/>
          <w:sz w:val="28"/>
          <w:szCs w:val="28"/>
        </w:rPr>
        <w:t xml:space="preserve">CTA Section</w:t>
      </w:r>
    </w:p>
    <w:p>
      <w:pPr>
        <w:pStyle w:val="Heading3"/>
        <w:spacing w:after="120" w:before="240"/>
      </w:pPr>
      <w:r>
        <w:rPr>
          <w:rFonts w:ascii="Arial" w:cs="Arial" w:eastAsia="Arial" w:hAnsi="Arial"/>
          <w:b/>
          <w:bCs/>
          <w:color w:val="1A365D"/>
          <w:sz w:val="24"/>
          <w:szCs w:val="24"/>
        </w:rPr>
        <w:t xml:space="preserve">Headline</w:t>
      </w:r>
    </w:p>
    <w:p>
      <w:pPr>
        <w:spacing w:after="120"/>
      </w:pPr>
      <w:r>
        <w:rPr>
          <w:rFonts w:ascii="Arial" w:cs="Arial" w:eastAsia="Arial" w:hAnsi="Arial"/>
          <w:b/>
          <w:bCs/>
          <w:color w:val="1A365D"/>
          <w:sz w:val="22"/>
          <w:szCs w:val="22"/>
        </w:rPr>
        <w:t xml:space="preserve">Ready to master NPHIES-AI automation?</w:t>
      </w:r>
    </w:p>
    <w:p>
      <w:pPr>
        <w:pStyle w:val="Heading3"/>
        <w:spacing w:after="120" w:before="240"/>
      </w:pPr>
      <w:r>
        <w:rPr>
          <w:rFonts w:ascii="Arial" w:cs="Arial" w:eastAsia="Arial" w:hAnsi="Arial"/>
          <w:b/>
          <w:bCs/>
          <w:color w:val="1A365D"/>
          <w:sz w:val="24"/>
          <w:szCs w:val="24"/>
        </w:rPr>
        <w:t xml:space="preserve">Body</w:t>
      </w:r>
    </w:p>
    <w:p>
      <w:pPr>
        <w:spacing w:after="120"/>
      </w:pPr>
      <w:r>
        <w:rPr>
          <w:rFonts w:ascii="Arial" w:cs="Arial" w:eastAsia="Arial" w:hAnsi="Arial"/>
          <w:color w:val="333333"/>
          <w:sz w:val="20"/>
          <w:szCs w:val="20"/>
        </w:rPr>
        <w:t xml:space="preserve">Enroll through Google Classroom and gain immediate access to the full NPHIES-AI Mastery curriculum.</w:t>
      </w:r>
    </w:p>
    <w:p>
      <w:pPr>
        <w:pBdr>
          <w:bottom w:val="single" w:color="F1F5F9" w:sz="2" w:space="4"/>
        </w:pBdr>
        <w:spacing w:after="200" w:before="200"/>
      </w:pPr>
    </w:p>
    <w:p>
      <w:pPr>
        <w:pStyle w:val="Heading1"/>
        <w:pBdr>
          <w:bottom w:val="single" w:color="0EA5E9" w:sz="4" w:space="4"/>
        </w:pBdr>
        <w:spacing w:after="200" w:before="480"/>
      </w:pPr>
      <w:r>
        <w:rPr>
          <w:rFonts w:ascii="Arial" w:cs="Arial" w:eastAsia="Arial" w:hAnsi="Arial"/>
          <w:b/>
          <w:bCs/>
          <w:color w:val="1A365D"/>
          <w:sz w:val="36"/>
          <w:szCs w:val="36"/>
        </w:rPr>
        <w:t xml:space="preserve">Part 4 — Academy Rebuild Brief</w:t>
      </w:r>
    </w:p>
    <w:p>
      <w:pPr>
        <w:pStyle w:val="Heading2"/>
        <w:spacing w:after="160" w:before="360"/>
      </w:pPr>
      <w:r>
        <w:rPr>
          <w:rFonts w:ascii="Arial" w:cs="Arial" w:eastAsia="Arial" w:hAnsi="Arial"/>
          <w:b/>
          <w:bCs/>
          <w:color w:val="2B6CB8"/>
          <w:sz w:val="28"/>
          <w:szCs w:val="28"/>
        </w:rPr>
        <w:t xml:space="preserve">URL Structure for academy.brainsait.org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1F5F9" w:sz="1"/>
              <w:left w:val="single" w:color="F1F5F9" w:sz="1"/>
              <w:bottom w:val="single" w:color="F1F5F9" w:sz="1"/>
              <w:right w:val="single" w:color="F1F5F9" w:sz="1"/>
            </w:tcBorders>
            <w:shd w:fill="F1F5F9" w:val="clear"/>
            <w:tcMar>
              <w:top w:type="dxa" w:w="100"/>
              <w:left w:type="dxa" w:w="150"/>
              <w:bottom w:type="dxa" w:w="100"/>
              <w:right w:type="dxa" w:w="150"/>
            </w:tcMar>
          </w:tcPr>
          <w:p>
            <w:pPr>
              <w:spacing w:after="120"/>
            </w:pPr>
            <w:r>
              <w:rPr>
                <w:rFonts w:ascii="Arial" w:cs="Arial" w:eastAsia="Arial" w:hAnsi="Arial"/>
                <w:b/>
                <w:bCs/>
                <w:color w:val="1A365D"/>
                <w:sz w:val="20"/>
                <w:szCs w:val="20"/>
              </w:rPr>
              <w:t xml:space="preserve">Old Path (brainsait.org)</w:t>
            </w:r>
          </w:p>
        </w:tc>
        <w:tc>
          <w:tcPr>
            <w:tcW w:type="dxa" w:w="4680"/>
            <w:tcBorders>
              <w:top w:val="single" w:color="F1F5F9" w:sz="1"/>
              <w:left w:val="single" w:color="F1F5F9" w:sz="1"/>
              <w:bottom w:val="single" w:color="F1F5F9" w:sz="1"/>
              <w:right w:val="single" w:color="F1F5F9" w:sz="1"/>
            </w:tcBorders>
            <w:shd w:fill="E0F2FE" w:val="clear"/>
            <w:tcMar>
              <w:top w:type="dxa" w:w="100"/>
              <w:left w:type="dxa" w:w="150"/>
              <w:bottom w:type="dxa" w:w="100"/>
              <w:right w:type="dxa" w:w="150"/>
            </w:tcMar>
          </w:tcPr>
          <w:p>
            <w:pPr>
              <w:spacing w:after="120"/>
            </w:pPr>
            <w:r>
              <w:rPr>
                <w:rFonts w:ascii="Arial" w:cs="Arial" w:eastAsia="Arial" w:hAnsi="Arial"/>
                <w:b/>
                <w:bCs/>
                <w:color w:val="0EA5E9"/>
                <w:sz w:val="20"/>
                <w:szCs w:val="20"/>
              </w:rPr>
              <w:t xml:space="preserve">New Path (academy.brainsait.org)</w:t>
            </w:r>
          </w:p>
        </w:tc>
      </w:tr>
      <w:tr>
        <w:tc>
          <w:tcPr>
            <w:tcW w:type="dxa" w:w="4680"/>
            <w:tcBorders>
              <w:top w:val="single" w:color="F1F5F9" w:sz="1"/>
              <w:left w:val="single" w:color="F1F5F9" w:sz="1"/>
              <w:bottom w:val="single" w:color="F1F5F9" w:sz="1"/>
              <w:right w:val="single" w:color="F1F5F9" w:sz="1"/>
            </w:tcBorders>
            <w:tcMar>
              <w:top w:type="dxa" w:w="100"/>
              <w:left w:type="dxa" w:w="150"/>
              <w:bottom w:type="dxa" w:w="100"/>
              <w:right w:type="dxa" w:w="150"/>
            </w:tcMar>
          </w:tcPr>
          <w:p>
            <w:pPr>
              <w:spacing w:after="120"/>
            </w:pPr>
            <w:r>
              <w:rPr>
                <w:rFonts w:ascii="Arial" w:cs="Arial" w:eastAsia="Arial" w:hAnsi="Arial"/>
                <w:color w:val="333333"/>
                <w:sz w:val="20"/>
                <w:szCs w:val="20"/>
              </w:rPr>
              <w:t xml:space="preserve">/training/</w:t>
            </w:r>
          </w:p>
        </w:tc>
        <w:tc>
          <w:tcPr>
            <w:tcW w:type="dxa" w:w="4680"/>
            <w:tcBorders>
              <w:top w:val="single" w:color="F1F5F9" w:sz="1"/>
              <w:left w:val="single" w:color="F1F5F9" w:sz="1"/>
              <w:bottom w:val="single" w:color="F1F5F9" w:sz="1"/>
              <w:right w:val="single" w:color="F1F5F9" w:sz="1"/>
            </w:tcBorders>
            <w:tcMar>
              <w:top w:type="dxa" w:w="100"/>
              <w:left w:type="dxa" w:w="150"/>
              <w:bottom w:type="dxa" w:w="100"/>
              <w:right w:type="dxa" w:w="150"/>
            </w:tcMar>
          </w:tcPr>
          <w:p>
            <w:pPr>
              <w:spacing w:after="120"/>
            </w:pPr>
            <w:r>
              <w:rPr>
                <w:rFonts w:ascii="Arial" w:cs="Arial" w:eastAsia="Arial" w:hAnsi="Arial"/>
                <w:color w:val="333333"/>
                <w:sz w:val="20"/>
                <w:szCs w:val="20"/>
              </w:rPr>
              <w:t xml:space="preserve">/ (Academy home)</w:t>
            </w:r>
          </w:p>
        </w:tc>
      </w:tr>
      <w:tr>
        <w:tc>
          <w:tcPr>
            <w:tcW w:type="dxa" w:w="4680"/>
            <w:tcBorders>
              <w:top w:val="single" w:color="F1F5F9" w:sz="1"/>
              <w:left w:val="single" w:color="F1F5F9" w:sz="1"/>
              <w:bottom w:val="single" w:color="F1F5F9" w:sz="1"/>
              <w:right w:val="single" w:color="F1F5F9" w:sz="1"/>
            </w:tcBorders>
            <w:tcMar>
              <w:top w:type="dxa" w:w="100"/>
              <w:left w:type="dxa" w:w="150"/>
              <w:bottom w:type="dxa" w:w="100"/>
              <w:right w:type="dxa" w:w="150"/>
            </w:tcMar>
          </w:tcPr>
          <w:p>
            <w:pPr>
              <w:spacing w:after="120"/>
            </w:pPr>
            <w:r>
              <w:rPr>
                <w:rFonts w:ascii="Arial" w:cs="Arial" w:eastAsia="Arial" w:hAnsi="Arial"/>
                <w:color w:val="333333"/>
                <w:sz w:val="20"/>
                <w:szCs w:val="20"/>
              </w:rPr>
              <w:t xml:space="preserve">/training/courses/</w:t>
            </w:r>
          </w:p>
        </w:tc>
        <w:tc>
          <w:tcPr>
            <w:tcW w:type="dxa" w:w="4680"/>
            <w:tcBorders>
              <w:top w:val="single" w:color="F1F5F9" w:sz="1"/>
              <w:left w:val="single" w:color="F1F5F9" w:sz="1"/>
              <w:bottom w:val="single" w:color="F1F5F9" w:sz="1"/>
              <w:right w:val="single" w:color="F1F5F9" w:sz="1"/>
            </w:tcBorders>
            <w:tcMar>
              <w:top w:type="dxa" w:w="100"/>
              <w:left w:type="dxa" w:w="150"/>
              <w:bottom w:type="dxa" w:w="100"/>
              <w:right w:type="dxa" w:w="150"/>
            </w:tcMar>
          </w:tcPr>
          <w:p>
            <w:pPr>
              <w:spacing w:after="120"/>
            </w:pPr>
            <w:r>
              <w:rPr>
                <w:rFonts w:ascii="Arial" w:cs="Arial" w:eastAsia="Arial" w:hAnsi="Arial"/>
                <w:color w:val="333333"/>
                <w:sz w:val="20"/>
                <w:szCs w:val="20"/>
              </w:rPr>
              <w:t xml:space="preserve">/courses/</w:t>
            </w:r>
          </w:p>
        </w:tc>
      </w:tr>
      <w:tr>
        <w:tc>
          <w:tcPr>
            <w:tcW w:type="dxa" w:w="4680"/>
            <w:tcBorders>
              <w:top w:val="single" w:color="F1F5F9" w:sz="1"/>
              <w:left w:val="single" w:color="F1F5F9" w:sz="1"/>
              <w:bottom w:val="single" w:color="F1F5F9" w:sz="1"/>
              <w:right w:val="single" w:color="F1F5F9" w:sz="1"/>
            </w:tcBorders>
            <w:tcMar>
              <w:top w:type="dxa" w:w="100"/>
              <w:left w:type="dxa" w:w="150"/>
              <w:bottom w:type="dxa" w:w="100"/>
              <w:right w:type="dxa" w:w="150"/>
            </w:tcMar>
          </w:tcPr>
          <w:p>
            <w:pPr>
              <w:spacing w:after="120"/>
            </w:pPr>
            <w:r>
              <w:rPr>
                <w:rFonts w:ascii="Arial" w:cs="Arial" w:eastAsia="Arial" w:hAnsi="Arial"/>
                <w:color w:val="333333"/>
                <w:sz w:val="20"/>
                <w:szCs w:val="20"/>
              </w:rPr>
              <w:t xml:space="preserve">/training/courses/collective-brainpower</w:t>
            </w:r>
          </w:p>
        </w:tc>
        <w:tc>
          <w:tcPr>
            <w:tcW w:type="dxa" w:w="4680"/>
            <w:tcBorders>
              <w:top w:val="single" w:color="F1F5F9" w:sz="1"/>
              <w:left w:val="single" w:color="F1F5F9" w:sz="1"/>
              <w:bottom w:val="single" w:color="F1F5F9" w:sz="1"/>
              <w:right w:val="single" w:color="F1F5F9" w:sz="1"/>
            </w:tcBorders>
            <w:tcMar>
              <w:top w:type="dxa" w:w="100"/>
              <w:left w:type="dxa" w:w="150"/>
              <w:bottom w:type="dxa" w:w="100"/>
              <w:right w:type="dxa" w:w="150"/>
            </w:tcMar>
          </w:tcPr>
          <w:p>
            <w:pPr>
              <w:spacing w:after="120"/>
            </w:pPr>
            <w:r>
              <w:rPr>
                <w:rFonts w:ascii="Arial" w:cs="Arial" w:eastAsia="Arial" w:hAnsi="Arial"/>
                <w:color w:val="333333"/>
                <w:sz w:val="20"/>
                <w:szCs w:val="20"/>
              </w:rPr>
              <w:t xml:space="preserve">/courses/collective-brainpower</w:t>
            </w:r>
          </w:p>
        </w:tc>
      </w:tr>
      <w:tr>
        <w:tc>
          <w:tcPr>
            <w:tcW w:type="dxa" w:w="4680"/>
            <w:tcBorders>
              <w:top w:val="single" w:color="F1F5F9" w:sz="1"/>
              <w:left w:val="single" w:color="F1F5F9" w:sz="1"/>
              <w:bottom w:val="single" w:color="F1F5F9" w:sz="1"/>
              <w:right w:val="single" w:color="F1F5F9" w:sz="1"/>
            </w:tcBorders>
            <w:tcMar>
              <w:top w:type="dxa" w:w="100"/>
              <w:left w:type="dxa" w:w="150"/>
              <w:bottom w:type="dxa" w:w="100"/>
              <w:right w:type="dxa" w:w="150"/>
            </w:tcMar>
          </w:tcPr>
          <w:p>
            <w:pPr>
              <w:spacing w:after="120"/>
            </w:pPr>
            <w:r>
              <w:rPr>
                <w:rFonts w:ascii="Arial" w:cs="Arial" w:eastAsia="Arial" w:hAnsi="Arial"/>
                <w:color w:val="333333"/>
                <w:sz w:val="20"/>
                <w:szCs w:val="20"/>
              </w:rPr>
              <w:t xml:space="preserve">/training/courses/nphies-ai-mastery</w:t>
            </w:r>
          </w:p>
        </w:tc>
        <w:tc>
          <w:tcPr>
            <w:tcW w:type="dxa" w:w="4680"/>
            <w:tcBorders>
              <w:top w:val="single" w:color="F1F5F9" w:sz="1"/>
              <w:left w:val="single" w:color="F1F5F9" w:sz="1"/>
              <w:bottom w:val="single" w:color="F1F5F9" w:sz="1"/>
              <w:right w:val="single" w:color="F1F5F9" w:sz="1"/>
            </w:tcBorders>
            <w:tcMar>
              <w:top w:type="dxa" w:w="100"/>
              <w:left w:type="dxa" w:w="150"/>
              <w:bottom w:type="dxa" w:w="100"/>
              <w:right w:type="dxa" w:w="150"/>
            </w:tcMar>
          </w:tcPr>
          <w:p>
            <w:pPr>
              <w:spacing w:after="120"/>
            </w:pPr>
            <w:r>
              <w:rPr>
                <w:rFonts w:ascii="Arial" w:cs="Arial" w:eastAsia="Arial" w:hAnsi="Arial"/>
                <w:color w:val="333333"/>
                <w:sz w:val="20"/>
                <w:szCs w:val="20"/>
              </w:rPr>
              <w:t xml:space="preserve">/courses/nphies-ai-mastery</w:t>
            </w:r>
          </w:p>
        </w:tc>
      </w:tr>
    </w:tbl>
    <w:p>
      <w:pPr>
        <w:spacing w:after="60"/>
      </w:pPr>
    </w:p>
    <w:p>
      <w:pPr>
        <w:pStyle w:val="Heading2"/>
        <w:spacing w:after="160" w:before="360"/>
      </w:pPr>
      <w:r>
        <w:rPr>
          <w:rFonts w:ascii="Arial" w:cs="Arial" w:eastAsia="Arial" w:hAnsi="Arial"/>
          <w:b/>
          <w:bCs/>
          <w:color w:val="2B6CB8"/>
          <w:sz w:val="28"/>
          <w:szCs w:val="28"/>
        </w:rPr>
        <w:t xml:space="preserve">Recommended Academy Features</w:t>
      </w:r>
    </w:p>
    <w:p>
      <w:pPr>
        <w:pStyle w:val="ListParagraph"/>
        <w:numPr>
          <w:ilvl w:val="0"/>
          <w:numId w:val="2"/>
        </w:numPr>
        <w:spacing w:after="120"/>
      </w:pPr>
      <w:r>
        <w:rPr>
          <w:rFonts w:ascii="Arial" w:cs="Arial" w:eastAsia="Arial" w:hAnsi="Arial"/>
          <w:color w:val="333333"/>
          <w:sz w:val="20"/>
          <w:szCs w:val="20"/>
        </w:rPr>
        <w:t xml:space="preserve">Bilingual UI (Arabic RTL / English LTR) using IBM Plex Sans Arabic + Inter</w:t>
      </w:r>
    </w:p>
    <w:p>
      <w:pPr>
        <w:pStyle w:val="ListParagraph"/>
        <w:numPr>
          <w:ilvl w:val="0"/>
          <w:numId w:val="2"/>
        </w:numPr>
        <w:spacing w:after="120"/>
      </w:pPr>
      <w:r>
        <w:rPr>
          <w:rFonts w:ascii="Arial" w:cs="Arial" w:eastAsia="Arial" w:hAnsi="Arial"/>
          <w:color w:val="333333"/>
          <w:sz w:val="20"/>
          <w:szCs w:val="20"/>
        </w:rPr>
        <w:t xml:space="preserve">Google Classroom integration with class code display + copy-to-clipboard</w:t>
      </w:r>
    </w:p>
    <w:p>
      <w:pPr>
        <w:pStyle w:val="ListParagraph"/>
        <w:numPr>
          <w:ilvl w:val="0"/>
          <w:numId w:val="2"/>
        </w:numPr>
        <w:spacing w:after="120"/>
      </w:pPr>
      <w:r>
        <w:rPr>
          <w:rFonts w:ascii="Arial" w:cs="Arial" w:eastAsia="Arial" w:hAnsi="Arial"/>
          <w:color w:val="333333"/>
          <w:sz w:val="20"/>
          <w:szCs w:val="20"/>
        </w:rPr>
        <w:t xml:space="preserve">Instructor profile sidebar: avatar, bio, social links (LinkedIn, X, GitHub, Calendly)</w:t>
      </w:r>
    </w:p>
    <w:p>
      <w:pPr>
        <w:pStyle w:val="ListParagraph"/>
        <w:numPr>
          <w:ilvl w:val="0"/>
          <w:numId w:val="2"/>
        </w:numPr>
        <w:spacing w:after="120"/>
      </w:pPr>
      <w:r>
        <w:rPr>
          <w:rFonts w:ascii="Arial" w:cs="Arial" w:eastAsia="Arial" w:hAnsi="Arial"/>
          <w:color w:val="333333"/>
          <w:sz w:val="20"/>
          <w:szCs w:val="20"/>
        </w:rPr>
        <w:t xml:space="preserve">Course cards with badge, level chip, format, duration, and CTA buttons</w:t>
      </w:r>
    </w:p>
    <w:p>
      <w:pPr>
        <w:pStyle w:val="ListParagraph"/>
        <w:numPr>
          <w:ilvl w:val="0"/>
          <w:numId w:val="2"/>
        </w:numPr>
        <w:spacing w:after="120"/>
      </w:pPr>
      <w:r>
        <w:rPr>
          <w:rFonts w:ascii="Arial" w:cs="Arial" w:eastAsia="Arial" w:hAnsi="Arial"/>
          <w:color w:val="333333"/>
          <w:sz w:val="20"/>
          <w:szCs w:val="20"/>
        </w:rPr>
        <w:t xml:space="preserve">Module curriculum grid (2-col on desktop, 1-col mobile)</w:t>
      </w:r>
    </w:p>
    <w:p>
      <w:pPr>
        <w:pStyle w:val="ListParagraph"/>
        <w:numPr>
          <w:ilvl w:val="0"/>
          <w:numId w:val="2"/>
        </w:numPr>
        <w:spacing w:after="120"/>
      </w:pPr>
      <w:r>
        <w:rPr>
          <w:rFonts w:ascii="Arial" w:cs="Arial" w:eastAsia="Arial" w:hAnsi="Arial"/>
          <w:color w:val="333333"/>
          <w:sz w:val="20"/>
          <w:szCs w:val="20"/>
        </w:rPr>
        <w:t xml:space="preserve">Learning outcomes checklist with teal tick icons</w:t>
      </w:r>
    </w:p>
    <w:p>
      <w:pPr>
        <w:pStyle w:val="ListParagraph"/>
        <w:numPr>
          <w:ilvl w:val="0"/>
          <w:numId w:val="2"/>
        </w:numPr>
        <w:spacing w:after="120"/>
      </w:pPr>
      <w:r>
        <w:rPr>
          <w:rFonts w:ascii="Arial" w:cs="Arial" w:eastAsia="Arial" w:hAnsi="Arial"/>
          <w:color w:val="333333"/>
          <w:sz w:val="20"/>
          <w:szCs w:val="20"/>
        </w:rPr>
        <w:t xml:space="preserve">Post-cohort consultation booking (Calendly embed or link)</w:t>
      </w:r>
    </w:p>
    <w:p>
      <w:pPr>
        <w:pStyle w:val="ListParagraph"/>
        <w:numPr>
          <w:ilvl w:val="0"/>
          <w:numId w:val="2"/>
        </w:numPr>
        <w:spacing w:after="120"/>
      </w:pPr>
      <w:r>
        <w:rPr>
          <w:rFonts w:ascii="Arial" w:cs="Arial" w:eastAsia="Arial" w:hAnsi="Arial"/>
          <w:color w:val="333333"/>
          <w:sz w:val="20"/>
          <w:szCs w:val="20"/>
        </w:rPr>
        <w:t xml:space="preserve">NPHIES compliance badge &amp; Vision 2030 alignment tag</w:t>
      </w:r>
    </w:p>
    <w:p>
      <w:pPr>
        <w:pStyle w:val="ListParagraph"/>
        <w:numPr>
          <w:ilvl w:val="0"/>
          <w:numId w:val="2"/>
        </w:numPr>
        <w:spacing w:after="120"/>
      </w:pPr>
      <w:r>
        <w:rPr>
          <w:rFonts w:ascii="Arial" w:cs="Arial" w:eastAsia="Arial" w:hAnsi="Arial"/>
          <w:color w:val="333333"/>
          <w:sz w:val="20"/>
          <w:szCs w:val="20"/>
        </w:rPr>
        <w:t xml:space="preserve">Glassmorphism card design with BrainSAIT brand colours</w:t>
      </w:r>
    </w:p>
    <w:p>
      <w:pPr>
        <w:pStyle w:val="ListParagraph"/>
        <w:numPr>
          <w:ilvl w:val="0"/>
          <w:numId w:val="2"/>
        </w:numPr>
        <w:spacing w:after="120"/>
      </w:pPr>
      <w:r>
        <w:rPr>
          <w:rFonts w:ascii="Arial" w:cs="Arial" w:eastAsia="Arial" w:hAnsi="Arial"/>
          <w:color w:val="333333"/>
          <w:sz w:val="20"/>
          <w:szCs w:val="20"/>
        </w:rPr>
        <w:t xml:space="preserve">Mobile-first responsive layout with RTL support</w:t>
      </w:r>
    </w:p>
    <w:p>
      <w:pPr>
        <w:pStyle w:val="ListParagraph"/>
        <w:numPr>
          <w:ilvl w:val="0"/>
          <w:numId w:val="2"/>
        </w:numPr>
        <w:spacing w:after="120"/>
      </w:pPr>
      <w:r>
        <w:rPr>
          <w:rFonts w:ascii="Arial" w:cs="Arial" w:eastAsia="Arial" w:hAnsi="Arial"/>
          <w:color w:val="333333"/>
          <w:sz w:val="20"/>
          <w:szCs w:val="20"/>
        </w:rPr>
        <w:t xml:space="preserve">HIPAA-aware data handling for any student registration flow</w:t>
      </w:r>
    </w:p>
    <w:p>
      <w:pPr>
        <w:pStyle w:val="ListParagraph"/>
        <w:numPr>
          <w:ilvl w:val="0"/>
          <w:numId w:val="2"/>
        </w:numPr>
        <w:spacing w:after="120"/>
      </w:pPr>
      <w:r>
        <w:rPr>
          <w:rFonts w:ascii="Arial" w:cs="Arial" w:eastAsia="Arial" w:hAnsi="Arial"/>
          <w:color w:val="333333"/>
          <w:sz w:val="20"/>
          <w:szCs w:val="20"/>
        </w:rPr>
        <w:t xml:space="preserve">Future: payment integration, certificates, progress tracking</w:t>
      </w:r>
    </w:p>
    <w:p>
      <w:pPr>
        <w:spacing w:after="60"/>
      </w:pPr>
    </w:p>
    <w:p>
      <w:pPr>
        <w:pStyle w:val="Heading2"/>
        <w:spacing w:after="160" w:before="360"/>
      </w:pPr>
      <w:r>
        <w:rPr>
          <w:rFonts w:ascii="Arial" w:cs="Arial" w:eastAsia="Arial" w:hAnsi="Arial"/>
          <w:b/>
          <w:bCs/>
          <w:color w:val="2B6CB8"/>
          <w:sz w:val="28"/>
          <w:szCs w:val="28"/>
        </w:rPr>
        <w:t xml:space="preserve">Brand &amp; 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4680"/>
            <w:tcBorders>
              <w:top w:val="single" w:color="F1F5F9" w:sz="1"/>
              <w:left w:val="single" w:color="F1F5F9" w:sz="1"/>
              <w:bottom w:val="single" w:color="F1F5F9" w:sz="1"/>
              <w:right w:val="single" w:color="F1F5F9" w:sz="1"/>
            </w:tcBorders>
            <w:shd w:fill="F1F5F9" w:val="clear"/>
            <w:tcMar>
              <w:top w:type="dxa" w:w="100"/>
              <w:left w:type="dxa" w:w="150"/>
              <w:bottom w:type="dxa" w:w="100"/>
              <w:right w:type="dxa" w:w="150"/>
            </w:tcMar>
          </w:tcPr>
          <w:p>
            <w:pPr>
              <w:spacing w:after="120"/>
            </w:pPr>
            <w:r>
              <w:rPr>
                <w:rFonts w:ascii="Arial" w:cs="Arial" w:eastAsia="Arial" w:hAnsi="Arial"/>
                <w:b/>
                <w:bCs/>
                <w:color w:val="1A365D"/>
                <w:sz w:val="20"/>
                <w:szCs w:val="20"/>
              </w:rPr>
              <w:t xml:space="preserve">Token</w:t>
            </w:r>
          </w:p>
        </w:tc>
        <w:tc>
          <w:tcPr>
            <w:tcW w:type="dxa" w:w="4680"/>
            <w:tcBorders>
              <w:top w:val="single" w:color="F1F5F9" w:sz="1"/>
              <w:left w:val="single" w:color="F1F5F9" w:sz="1"/>
              <w:bottom w:val="single" w:color="F1F5F9" w:sz="1"/>
              <w:right w:val="single" w:color="F1F5F9" w:sz="1"/>
            </w:tcBorders>
            <w:shd w:fill="F1F5F9" w:val="clear"/>
            <w:tcMar>
              <w:top w:type="dxa" w:w="100"/>
              <w:left w:type="dxa" w:w="150"/>
              <w:bottom w:type="dxa" w:w="100"/>
              <w:right w:type="dxa" w:w="150"/>
            </w:tcMar>
          </w:tcPr>
          <w:p>
            <w:pPr>
              <w:spacing w:after="120"/>
            </w:pPr>
            <w:r>
              <w:rPr>
                <w:rFonts w:ascii="Arial" w:cs="Arial" w:eastAsia="Arial" w:hAnsi="Arial"/>
                <w:b/>
                <w:bCs/>
                <w:color w:val="1A365D"/>
                <w:sz w:val="20"/>
                <w:szCs w:val="20"/>
              </w:rPr>
              <w:t xml:space="preserve">Value</w:t>
            </w:r>
          </w:p>
        </w:tc>
        <w:tc>
          <w:tcPr>
            <w:tcW w:type="dxa" w:w="4680"/>
            <w:tcBorders>
              <w:top w:val="single" w:color="F1F5F9" w:sz="1"/>
              <w:left w:val="single" w:color="F1F5F9" w:sz="1"/>
              <w:bottom w:val="single" w:color="F1F5F9" w:sz="1"/>
              <w:right w:val="single" w:color="F1F5F9" w:sz="1"/>
            </w:tcBorders>
            <w:shd w:fill="F1F5F9" w:val="clear"/>
            <w:tcMar>
              <w:top w:type="dxa" w:w="100"/>
              <w:left w:type="dxa" w:w="150"/>
              <w:bottom w:type="dxa" w:w="100"/>
              <w:right w:type="dxa" w:w="150"/>
            </w:tcMar>
          </w:tcPr>
          <w:p>
            <w:pPr>
              <w:spacing w:after="120"/>
            </w:pPr>
            <w:r>
              <w:rPr>
                <w:rFonts w:ascii="Arial" w:cs="Arial" w:eastAsia="Arial" w:hAnsi="Arial"/>
                <w:b/>
                <w:bCs/>
                <w:color w:val="1A365D"/>
                <w:sz w:val="20"/>
                <w:szCs w:val="20"/>
              </w:rPr>
              <w:t xml:space="preserve">Usage</w:t>
            </w:r>
          </w:p>
        </w:tc>
      </w:tr>
      <w:tr>
        <w:tc>
          <w:tcPr>
            <w:tcW w:type="dxa" w:w="4680"/>
            <w:tcBorders>
              <w:top w:val="single" w:color="F1F5F9" w:sz="1"/>
              <w:left w:val="single" w:color="F1F5F9" w:sz="1"/>
              <w:bottom w:val="single" w:color="F1F5F9" w:sz="1"/>
              <w:right w:val="single" w:color="F1F5F9" w:sz="1"/>
            </w:tcBorders>
            <w:tcMar>
              <w:top w:type="dxa" w:w="100"/>
              <w:left w:type="dxa" w:w="150"/>
              <w:bottom w:type="dxa" w:w="100"/>
              <w:right w:type="dxa" w:w="150"/>
            </w:tcMar>
          </w:tcPr>
          <w:p>
            <w:pPr>
              <w:spacing w:after="120"/>
            </w:pPr>
            <w:r>
              <w:rPr>
                <w:rFonts w:ascii="Arial" w:cs="Arial" w:eastAsia="Arial" w:hAnsi="Arial"/>
                <w:color w:val="333333"/>
                <w:sz w:val="20"/>
                <w:szCs w:val="20"/>
              </w:rPr>
              <w:t xml:space="preserve">--midnight</w:t>
            </w:r>
          </w:p>
        </w:tc>
        <w:tc>
          <w:tcPr>
            <w:tcW w:type="dxa" w:w="4680"/>
            <w:tcBorders>
              <w:top w:val="single" w:color="F1F5F9" w:sz="1"/>
              <w:left w:val="single" w:color="F1F5F9" w:sz="1"/>
              <w:bottom w:val="single" w:color="F1F5F9" w:sz="1"/>
              <w:right w:val="single" w:color="F1F5F9" w:sz="1"/>
            </w:tcBorders>
            <w:tcMar>
              <w:top w:type="dxa" w:w="100"/>
              <w:left w:type="dxa" w:w="150"/>
              <w:bottom w:type="dxa" w:w="100"/>
              <w:right w:type="dxa" w:w="150"/>
            </w:tcMar>
          </w:tcPr>
          <w:p>
            <w:pPr>
              <w:spacing w:after="120"/>
            </w:pPr>
            <w:r>
              <w:rPr>
                <w:rFonts w:ascii="Arial" w:cs="Arial" w:eastAsia="Arial" w:hAnsi="Arial"/>
                <w:color w:val="333333"/>
                <w:sz w:val="20"/>
                <w:szCs w:val="20"/>
              </w:rPr>
              <w:t xml:space="preserve">#1A365D</w:t>
            </w:r>
          </w:p>
        </w:tc>
        <w:tc>
          <w:tcPr>
            <w:tcW w:type="dxa" w:w="4680"/>
            <w:tcBorders>
              <w:top w:val="single" w:color="F1F5F9" w:sz="1"/>
              <w:left w:val="single" w:color="F1F5F9" w:sz="1"/>
              <w:bottom w:val="single" w:color="F1F5F9" w:sz="1"/>
              <w:right w:val="single" w:color="F1F5F9" w:sz="1"/>
            </w:tcBorders>
            <w:tcMar>
              <w:top w:type="dxa" w:w="100"/>
              <w:left w:type="dxa" w:w="150"/>
              <w:bottom w:type="dxa" w:w="100"/>
              <w:right w:type="dxa" w:w="150"/>
            </w:tcMar>
          </w:tcPr>
          <w:p>
            <w:pPr>
              <w:spacing w:after="120"/>
            </w:pPr>
            <w:r>
              <w:rPr>
                <w:rFonts w:ascii="Arial" w:cs="Arial" w:eastAsia="Arial" w:hAnsi="Arial"/>
                <w:color w:val="333333"/>
                <w:sz w:val="20"/>
                <w:szCs w:val="20"/>
              </w:rPr>
              <w:t xml:space="preserve">Primary headings, nav</w:t>
            </w:r>
          </w:p>
        </w:tc>
      </w:tr>
      <w:tr>
        <w:tc>
          <w:tcPr>
            <w:tcW w:type="dxa" w:w="4680"/>
            <w:tcBorders>
              <w:top w:val="single" w:color="F1F5F9" w:sz="1"/>
              <w:left w:val="single" w:color="F1F5F9" w:sz="1"/>
              <w:bottom w:val="single" w:color="F1F5F9" w:sz="1"/>
              <w:right w:val="single" w:color="F1F5F9" w:sz="1"/>
            </w:tcBorders>
            <w:tcMar>
              <w:top w:type="dxa" w:w="100"/>
              <w:left w:type="dxa" w:w="150"/>
              <w:bottom w:type="dxa" w:w="100"/>
              <w:right w:type="dxa" w:w="150"/>
            </w:tcMar>
          </w:tcPr>
          <w:p>
            <w:pPr>
              <w:spacing w:after="120"/>
            </w:pPr>
            <w:r>
              <w:rPr>
                <w:rFonts w:ascii="Arial" w:cs="Arial" w:eastAsia="Arial" w:hAnsi="Arial"/>
                <w:color w:val="333333"/>
                <w:sz w:val="20"/>
                <w:szCs w:val="20"/>
              </w:rPr>
              <w:t xml:space="preserve">--med-blue</w:t>
            </w:r>
          </w:p>
        </w:tc>
        <w:tc>
          <w:tcPr>
            <w:tcW w:type="dxa" w:w="4680"/>
            <w:tcBorders>
              <w:top w:val="single" w:color="F1F5F9" w:sz="1"/>
              <w:left w:val="single" w:color="F1F5F9" w:sz="1"/>
              <w:bottom w:val="single" w:color="F1F5F9" w:sz="1"/>
              <w:right w:val="single" w:color="F1F5F9" w:sz="1"/>
            </w:tcBorders>
            <w:tcMar>
              <w:top w:type="dxa" w:w="100"/>
              <w:left w:type="dxa" w:w="150"/>
              <w:bottom w:type="dxa" w:w="100"/>
              <w:right w:type="dxa" w:w="150"/>
            </w:tcMar>
          </w:tcPr>
          <w:p>
            <w:pPr>
              <w:spacing w:after="120"/>
            </w:pPr>
            <w:r>
              <w:rPr>
                <w:rFonts w:ascii="Arial" w:cs="Arial" w:eastAsia="Arial" w:hAnsi="Arial"/>
                <w:color w:val="333333"/>
                <w:sz w:val="20"/>
                <w:szCs w:val="20"/>
              </w:rPr>
              <w:t xml:space="preserve">#2B6CB8</w:t>
            </w:r>
          </w:p>
        </w:tc>
        <w:tc>
          <w:tcPr>
            <w:tcW w:type="dxa" w:w="4680"/>
            <w:tcBorders>
              <w:top w:val="single" w:color="F1F5F9" w:sz="1"/>
              <w:left w:val="single" w:color="F1F5F9" w:sz="1"/>
              <w:bottom w:val="single" w:color="F1F5F9" w:sz="1"/>
              <w:right w:val="single" w:color="F1F5F9" w:sz="1"/>
            </w:tcBorders>
            <w:tcMar>
              <w:top w:type="dxa" w:w="100"/>
              <w:left w:type="dxa" w:w="150"/>
              <w:bottom w:type="dxa" w:w="100"/>
              <w:right w:type="dxa" w:w="150"/>
            </w:tcMar>
          </w:tcPr>
          <w:p>
            <w:pPr>
              <w:spacing w:after="120"/>
            </w:pPr>
            <w:r>
              <w:rPr>
                <w:rFonts w:ascii="Arial" w:cs="Arial" w:eastAsia="Arial" w:hAnsi="Arial"/>
                <w:color w:val="333333"/>
                <w:sz w:val="20"/>
                <w:szCs w:val="20"/>
              </w:rPr>
              <w:t xml:space="preserve">Secondary headings, links</w:t>
            </w:r>
          </w:p>
        </w:tc>
      </w:tr>
      <w:tr>
        <w:tc>
          <w:tcPr>
            <w:tcW w:type="dxa" w:w="4680"/>
            <w:tcBorders>
              <w:top w:val="single" w:color="F1F5F9" w:sz="1"/>
              <w:left w:val="single" w:color="F1F5F9" w:sz="1"/>
              <w:bottom w:val="single" w:color="F1F5F9" w:sz="1"/>
              <w:right w:val="single" w:color="F1F5F9" w:sz="1"/>
            </w:tcBorders>
            <w:tcMar>
              <w:top w:type="dxa" w:w="100"/>
              <w:left w:type="dxa" w:w="150"/>
              <w:bottom w:type="dxa" w:w="100"/>
              <w:right w:type="dxa" w:w="150"/>
            </w:tcMar>
          </w:tcPr>
          <w:p>
            <w:pPr>
              <w:spacing w:after="120"/>
            </w:pPr>
            <w:r>
              <w:rPr>
                <w:rFonts w:ascii="Arial" w:cs="Arial" w:eastAsia="Arial" w:hAnsi="Arial"/>
                <w:color w:val="333333"/>
                <w:sz w:val="20"/>
                <w:szCs w:val="20"/>
              </w:rPr>
              <w:t xml:space="preserve">--teal</w:t>
            </w:r>
          </w:p>
        </w:tc>
        <w:tc>
          <w:tcPr>
            <w:tcW w:type="dxa" w:w="4680"/>
            <w:tcBorders>
              <w:top w:val="single" w:color="F1F5F9" w:sz="1"/>
              <w:left w:val="single" w:color="F1F5F9" w:sz="1"/>
              <w:bottom w:val="single" w:color="F1F5F9" w:sz="1"/>
              <w:right w:val="single" w:color="F1F5F9" w:sz="1"/>
            </w:tcBorders>
            <w:tcMar>
              <w:top w:type="dxa" w:w="100"/>
              <w:left w:type="dxa" w:w="150"/>
              <w:bottom w:type="dxa" w:w="100"/>
              <w:right w:type="dxa" w:w="150"/>
            </w:tcMar>
          </w:tcPr>
          <w:p>
            <w:pPr>
              <w:spacing w:after="120"/>
            </w:pPr>
            <w:r>
              <w:rPr>
                <w:rFonts w:ascii="Arial" w:cs="Arial" w:eastAsia="Arial" w:hAnsi="Arial"/>
                <w:color w:val="333333"/>
                <w:sz w:val="20"/>
                <w:szCs w:val="20"/>
              </w:rPr>
              <w:t xml:space="preserve">#0EA5E9</w:t>
            </w:r>
          </w:p>
        </w:tc>
        <w:tc>
          <w:tcPr>
            <w:tcW w:type="dxa" w:w="4680"/>
            <w:tcBorders>
              <w:top w:val="single" w:color="F1F5F9" w:sz="1"/>
              <w:left w:val="single" w:color="F1F5F9" w:sz="1"/>
              <w:bottom w:val="single" w:color="F1F5F9" w:sz="1"/>
              <w:right w:val="single" w:color="F1F5F9" w:sz="1"/>
            </w:tcBorders>
            <w:tcMar>
              <w:top w:type="dxa" w:w="100"/>
              <w:left w:type="dxa" w:w="150"/>
              <w:bottom w:type="dxa" w:w="100"/>
              <w:right w:type="dxa" w:w="150"/>
            </w:tcMar>
          </w:tcPr>
          <w:p>
            <w:pPr>
              <w:spacing w:after="120"/>
            </w:pPr>
            <w:r>
              <w:rPr>
                <w:rFonts w:ascii="Arial" w:cs="Arial" w:eastAsia="Arial" w:hAnsi="Arial"/>
                <w:color w:val="333333"/>
                <w:sz w:val="20"/>
                <w:szCs w:val="20"/>
              </w:rPr>
              <w:t xml:space="preserve">Accents, CTAs, module chips</w:t>
            </w:r>
          </w:p>
        </w:tc>
      </w:tr>
      <w:tr>
        <w:tc>
          <w:tcPr>
            <w:tcW w:type="dxa" w:w="4680"/>
            <w:tcBorders>
              <w:top w:val="single" w:color="F1F5F9" w:sz="1"/>
              <w:left w:val="single" w:color="F1F5F9" w:sz="1"/>
              <w:bottom w:val="single" w:color="F1F5F9" w:sz="1"/>
              <w:right w:val="single" w:color="F1F5F9" w:sz="1"/>
            </w:tcBorders>
            <w:tcMar>
              <w:top w:type="dxa" w:w="100"/>
              <w:left w:type="dxa" w:w="150"/>
              <w:bottom w:type="dxa" w:w="100"/>
              <w:right w:type="dxa" w:w="150"/>
            </w:tcMar>
          </w:tcPr>
          <w:p>
            <w:pPr>
              <w:spacing w:after="120"/>
            </w:pPr>
            <w:r>
              <w:rPr>
                <w:rFonts w:ascii="Arial" w:cs="Arial" w:eastAsia="Arial" w:hAnsi="Arial"/>
                <w:color w:val="333333"/>
                <w:sz w:val="20"/>
                <w:szCs w:val="20"/>
              </w:rPr>
              <w:t xml:space="preserve">--orange</w:t>
            </w:r>
          </w:p>
        </w:tc>
        <w:tc>
          <w:tcPr>
            <w:tcW w:type="dxa" w:w="4680"/>
            <w:tcBorders>
              <w:top w:val="single" w:color="F1F5F9" w:sz="1"/>
              <w:left w:val="single" w:color="F1F5F9" w:sz="1"/>
              <w:bottom w:val="single" w:color="F1F5F9" w:sz="1"/>
              <w:right w:val="single" w:color="F1F5F9" w:sz="1"/>
            </w:tcBorders>
            <w:tcMar>
              <w:top w:type="dxa" w:w="100"/>
              <w:left w:type="dxa" w:w="150"/>
              <w:bottom w:type="dxa" w:w="100"/>
              <w:right w:type="dxa" w:w="150"/>
            </w:tcMar>
          </w:tcPr>
          <w:p>
            <w:pPr>
              <w:spacing w:after="120"/>
            </w:pPr>
            <w:r>
              <w:rPr>
                <w:rFonts w:ascii="Arial" w:cs="Arial" w:eastAsia="Arial" w:hAnsi="Arial"/>
                <w:color w:val="333333"/>
                <w:sz w:val="20"/>
                <w:szCs w:val="20"/>
              </w:rPr>
              <w:t xml:space="preserve">#EA580C</w:t>
            </w:r>
          </w:p>
        </w:tc>
        <w:tc>
          <w:tcPr>
            <w:tcW w:type="dxa" w:w="4680"/>
            <w:tcBorders>
              <w:top w:val="single" w:color="F1F5F9" w:sz="1"/>
              <w:left w:val="single" w:color="F1F5F9" w:sz="1"/>
              <w:bottom w:val="single" w:color="F1F5F9" w:sz="1"/>
              <w:right w:val="single" w:color="F1F5F9" w:sz="1"/>
            </w:tcBorders>
            <w:tcMar>
              <w:top w:type="dxa" w:w="100"/>
              <w:left w:type="dxa" w:w="150"/>
              <w:bottom w:type="dxa" w:w="100"/>
              <w:right w:type="dxa" w:w="150"/>
            </w:tcMar>
          </w:tcPr>
          <w:p>
            <w:pPr>
              <w:spacing w:after="120"/>
            </w:pPr>
            <w:r>
              <w:rPr>
                <w:rFonts w:ascii="Arial" w:cs="Arial" w:eastAsia="Arial" w:hAnsi="Arial"/>
                <w:color w:val="333333"/>
                <w:sz w:val="20"/>
                <w:szCs w:val="20"/>
              </w:rPr>
              <w:t xml:space="preserve">Spark, warnings, highlights</w:t>
            </w:r>
          </w:p>
        </w:tc>
      </w:tr>
      <w:tr>
        <w:tc>
          <w:tcPr>
            <w:tcW w:type="dxa" w:w="4680"/>
            <w:tcBorders>
              <w:top w:val="single" w:color="F1F5F9" w:sz="1"/>
              <w:left w:val="single" w:color="F1F5F9" w:sz="1"/>
              <w:bottom w:val="single" w:color="F1F5F9" w:sz="1"/>
              <w:right w:val="single" w:color="F1F5F9" w:sz="1"/>
            </w:tcBorders>
            <w:tcMar>
              <w:top w:type="dxa" w:w="100"/>
              <w:left w:type="dxa" w:w="150"/>
              <w:bottom w:type="dxa" w:w="100"/>
              <w:right w:type="dxa" w:w="150"/>
            </w:tcMar>
          </w:tcPr>
          <w:p>
            <w:pPr>
              <w:spacing w:after="120"/>
            </w:pPr>
            <w:r>
              <w:rPr>
                <w:rFonts w:ascii="Arial" w:cs="Arial" w:eastAsia="Arial" w:hAnsi="Arial"/>
                <w:color w:val="333333"/>
                <w:sz w:val="20"/>
                <w:szCs w:val="20"/>
              </w:rPr>
              <w:t xml:space="preserve">--gray</w:t>
            </w:r>
          </w:p>
        </w:tc>
        <w:tc>
          <w:tcPr>
            <w:tcW w:type="dxa" w:w="4680"/>
            <w:tcBorders>
              <w:top w:val="single" w:color="F1F5F9" w:sz="1"/>
              <w:left w:val="single" w:color="F1F5F9" w:sz="1"/>
              <w:bottom w:val="single" w:color="F1F5F9" w:sz="1"/>
              <w:right w:val="single" w:color="F1F5F9" w:sz="1"/>
            </w:tcBorders>
            <w:tcMar>
              <w:top w:type="dxa" w:w="100"/>
              <w:left w:type="dxa" w:w="150"/>
              <w:bottom w:type="dxa" w:w="100"/>
              <w:right w:type="dxa" w:w="150"/>
            </w:tcMar>
          </w:tcPr>
          <w:p>
            <w:pPr>
              <w:spacing w:after="120"/>
            </w:pPr>
            <w:r>
              <w:rPr>
                <w:rFonts w:ascii="Arial" w:cs="Arial" w:eastAsia="Arial" w:hAnsi="Arial"/>
                <w:color w:val="333333"/>
                <w:sz w:val="20"/>
                <w:szCs w:val="20"/>
              </w:rPr>
              <w:t xml:space="preserve">#64748B</w:t>
            </w:r>
          </w:p>
        </w:tc>
        <w:tc>
          <w:tcPr>
            <w:tcW w:type="dxa" w:w="4680"/>
            <w:tcBorders>
              <w:top w:val="single" w:color="F1F5F9" w:sz="1"/>
              <w:left w:val="single" w:color="F1F5F9" w:sz="1"/>
              <w:bottom w:val="single" w:color="F1F5F9" w:sz="1"/>
              <w:right w:val="single" w:color="F1F5F9" w:sz="1"/>
            </w:tcBorders>
            <w:tcMar>
              <w:top w:type="dxa" w:w="100"/>
              <w:left w:type="dxa" w:w="150"/>
              <w:bottom w:type="dxa" w:w="100"/>
              <w:right w:type="dxa" w:w="150"/>
            </w:tcMar>
          </w:tcPr>
          <w:p>
            <w:pPr>
              <w:spacing w:after="120"/>
            </w:pPr>
            <w:r>
              <w:rPr>
                <w:rFonts w:ascii="Arial" w:cs="Arial" w:eastAsia="Arial" w:hAnsi="Arial"/>
                <w:color w:val="333333"/>
                <w:sz w:val="20"/>
                <w:szCs w:val="20"/>
              </w:rPr>
              <w:t xml:space="preserve">Body copy, captions</w:t>
            </w:r>
          </w:p>
        </w:tc>
      </w:tr>
    </w:tbl>
    <w:p>
      <w:pPr>
        <w:spacing w:after="60"/>
      </w:pPr>
    </w:p>
    <w:p>
      <w:pPr>
        <w:spacing w:after="60"/>
      </w:pPr>
    </w:p>
    <w:p>
      <w:pPr>
        <w:spacing w:before="480"/>
        <w:jc w:val="center"/>
      </w:pPr>
      <w:r>
        <w:rPr>
          <w:rFonts w:ascii="Arial" w:cs="Arial" w:eastAsia="Arial" w:hAnsi="Arial"/>
          <w:b/>
          <w:bCs/>
          <w:color w:val="64748B"/>
          <w:sz w:val="20"/>
          <w:szCs w:val="20"/>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pPr>
  </w:p>
  <w:p>
    <w:pPr>
      <w:tabs>
        <w:tab w:val="right" w:pos="9026"/>
      </w:tabs>
    </w:pPr>
    <w:r>
      <w:rPr>
        <w:rFonts w:ascii="Arial" w:cs="Arial" w:eastAsia="Arial" w:hAnsi="Arial"/>
        <w:color w:val="64748B"/>
        <w:sz w:val="18"/>
        <w:szCs w:val="18"/>
      </w:rPr>
      <w:t xml:space="preserve">BrainSAIT LTD · Riyadh, Saudi Arabia · academy.brainsait.org</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100"/>
            <w:left w:type="dxa" w:w="150"/>
            <w:bottom w:type="dxa" w:w="100"/>
            <w:right w:type="dxa" w:w="150"/>
          </w:tcMar>
        </w:tcPr>
        <w:p>
          <w:pPr>
            <w:spacing w:after="120"/>
          </w:pPr>
          <w:r>
            <w:rPr>
              <w:rFonts w:ascii="Arial" w:cs="Arial" w:eastAsia="Arial" w:hAnsi="Arial"/>
              <w:b/>
              <w:bCs/>
              <w:color w:val="1A365D"/>
              <w:sz w:val="20"/>
              <w:szCs w:val="20"/>
            </w:rPr>
            <w:t xml:space="preserve">⬡ BrainSAIT Academy</w:t>
          </w:r>
        </w:p>
      </w:tc>
      <w:tc>
        <w:tcPr>
          <w:tcW w:type="dxa" w:w="5040"/>
          <w:tcBorders>
            <w:top w:val="none" w:color="FFFFFF" w:sz="0"/>
            <w:left w:val="none" w:color="FFFFFF" w:sz="0"/>
            <w:bottom w:val="none" w:color="FFFFFF" w:sz="0"/>
            <w:right w:val="none" w:color="FFFFFF" w:sz="0"/>
          </w:tcBorders>
          <w:tcMar>
            <w:top w:type="dxa" w:w="100"/>
            <w:left w:type="dxa" w:w="150"/>
            <w:bottom w:type="dxa" w:w="100"/>
            <w:right w:type="dxa" w:w="150"/>
          </w:tcMar>
        </w:tcPr>
        <w:p>
          <w:pPr>
            <w:spacing w:after="120"/>
            <w:jc w:val="right"/>
          </w:pPr>
          <w:r>
            <w:rPr>
              <w:rFonts w:ascii="Arial" w:cs="Arial" w:eastAsia="Arial" w:hAnsi="Arial"/>
              <w:color w:val="64748B"/>
              <w:sz w:val="18"/>
              <w:szCs w:val="18"/>
            </w:rPr>
            <w:t xml:space="preserve">Unified Training Hub — Course Content Blueprint</w:t>
          </w:r>
        </w:p>
      </w:tc>
    </w:tr>
  </w:tbl>
  <w:p>
    <w:pPr>
      <w:pBdr>
        <w:bottom w:val="single" w:color="0EA5E9" w:sz="4" w:space="4"/>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B6CB8"/>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36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2026-05-10T06:51:09.136Z</dcterms:created>
  <dcterms:modified xsi:type="dcterms:W3CDTF">2026-05-10T06:51:09.136Z</dcterms:modified>
</cp:coreProperties>
</file>

<file path=docProps/custom.xml><?xml version="1.0" encoding="utf-8"?>
<Properties xmlns="http://schemas.openxmlformats.org/officeDocument/2006/custom-properties" xmlns:vt="http://schemas.openxmlformats.org/officeDocument/2006/docPropsVTypes"/>
</file>