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2</w:t>
            </w:r>
            <w:r>
              <w:rPr>
                <w:rFonts w:hint="default" w:ascii="Arial" w:hAnsi="Arial" w:cs="Arial"/>
              </w:rPr>
              <w:t>7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Ho aggiunto la possibilità di caricare il certificato SSL in formato pkcs12.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Ho finito la DashboardView aggiungendo la funzionalità di scaricare e cancellare i log.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Ho trovato un problema nello scheduler che cercherò di risolvere nella prossima giornata di lavoro.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Commentare il codice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Scrivere l’implementazione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+Body Asia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76A79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40" w:lineRule="auto"/>
      <w:jc w:val="left"/>
    </w:pPr>
    <w:rPr>
      <w:rFonts w:ascii="+Body" w:hAnsi="+Body" w:eastAsia="+Body Asian" w:cs="Arial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44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2015-06-25T19:36:00Z</dcterms:created>
  <dc:creator>NDV</dc:creator>
  <cp:lastModifiedBy>duck</cp:lastModifiedBy>
  <dcterms:modified xsi:type="dcterms:W3CDTF">2020-03-28T14:46:50Z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