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26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scritto la logica che ci sta dietro la visuale dei report (DuplicateJPanel) e quella dietro l’interfaccia dello scan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le schermate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EFF825B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AFBFEB77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FD8137"/>
    <w:rsid w:val="F2F5881D"/>
    <w:rsid w:val="F3566D83"/>
    <w:rsid w:val="F3DF7FED"/>
    <w:rsid w:val="F3FB5452"/>
    <w:rsid w:val="F5D717CE"/>
    <w:rsid w:val="F5F5C576"/>
    <w:rsid w:val="F6BE931A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ADF40C"/>
    <w:rsid w:val="FFBD2F76"/>
    <w:rsid w:val="FFBF77D9"/>
    <w:rsid w:val="FFBF8B92"/>
    <w:rsid w:val="FFC778CB"/>
    <w:rsid w:val="FFCF9977"/>
    <w:rsid w:val="FFDF74A9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4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2015-06-24T17:36:00Z</dcterms:created>
  <dc:creator>NDV</dc:creator>
  <cp:lastModifiedBy>duck</cp:lastModifiedBy>
  <dcterms:modified xsi:type="dcterms:W3CDTF">2019-11-26T16:27:38Z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