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A1FD4"/>
          <w:sz w:val="19"/>
        </w:rPr>
        <w:t>KONTRAKKU — DOKUMEN GAMBARAN PROJEK &amp; PROPOSAL INOVASI</w:t>
      </w:r>
    </w:p>
    <w:p>
      <w:pPr>
        <w:spacing w:before="80" w:after="160"/>
      </w:pPr>
      <w:r>
        <w:rPr>
          <w:rFonts w:ascii="Calibri" w:hAnsi="Calibri"/>
          <w:b/>
          <w:color w:val="0F172A"/>
          <w:sz w:val="44"/>
        </w:rPr>
        <w:t>KontrakKu: Platform Kesepakatan Proyek Digital &amp; Proteksi Finansial Freelancer Indonesia</w:t>
      </w:r>
    </w:p>
    <w:p>
      <w:pPr>
        <w:spacing w:after="360"/>
      </w:pPr>
      <w:r>
        <w:rPr>
          <w:rFonts w:ascii="Calibri" w:hAnsi="Calibri"/>
          <w:i/>
          <w:color w:val="64748B"/>
          <w:sz w:val="20"/>
        </w:rPr>
        <w:t>Fokus: Pencegahan Scope Creep, Perlindungan Pelunasan, Legalitas e-Materai Resmi RI, dan Segel Keamanan Digital Anti-Manipulasi</w:t>
        <w:br/>
        <w:t>Tanggal: 20 September 2026 | Versi: 1.0 MVP Production-Ready</w:t>
      </w:r>
    </w:p>
    <w:p>
      <w:pPr>
        <w:spacing w:after="280"/>
      </w:pPr>
      <w:r>
        <w:rPr>
          <w:color w:val="E2E8F0"/>
        </w:rPr>
        <w:t>――――――――――――――――――――――――――――――――――――――――――――――――――――――――――</w:t>
      </w:r>
    </w:p>
    <w:p>
      <w:pPr>
        <w:keepNext/>
        <w:spacing w:before="360" w:after="120"/>
      </w:pPr>
      <w:r>
        <w:rPr>
          <w:rFonts w:ascii="Calibri" w:hAnsi="Calibri"/>
          <w:b/>
          <w:color w:val="0A1FD4"/>
          <w:sz w:val="28"/>
        </w:rPr>
        <w:t>1. Executive Summary (Ringkasan Eksekutif)</w:t>
      </w:r>
    </w:p>
    <w:p>
      <w:pPr>
        <w:spacing w:after="120" w:line="276" w:lineRule="auto"/>
      </w:pPr>
      <w:r>
        <w:rPr>
          <w:rFonts w:ascii="Calibri" w:hAnsi="Calibri"/>
          <w:color w:val="0F172A"/>
          <w:sz w:val="21"/>
        </w:rPr>
        <w:t>KontrakKu adalah platform web berbasis SaaS modern yang dirancang khusus untuk memberdayakan freelancer digital dan agensi kreatif mikro di Indonesia. Platform ini mentransformasikan kesepakatan informal yang biasanya berserakan di obrolan chat WhatsApp, Direct Message, atau email menjadi dokumen kesepakatan kerja terstruktur (single source of truth) yang memiliki kekuatan kepastian hukum, alur persetujuan digital transparan, fasilitas tempel e-Materai resmi RI, dan segel verifikasi anti-manipulasi.</w:t>
      </w:r>
    </w:p>
    <w:p>
      <w:pPr>
        <w:spacing w:after="120" w:line="276" w:lineRule="auto"/>
      </w:pPr>
      <w:r>
        <w:rPr>
          <w:rFonts w:ascii="Calibri" w:hAnsi="Calibri"/>
          <w:color w:val="0F172A"/>
          <w:sz w:val="21"/>
        </w:rPr>
        <w:t>Berbeda dengan software tanda tangan dokumen luar negeri yang rumit dan mahal, KontrakKu fokus menyelesaikan masalah mendasar ekonomi gig: sengketa ruang lingkup (scope creep), revisi tanpa batas tanpa kompensasi, dan risiko gagal bayar (ghosting) saat pelunasan proyek.</w:t>
      </w:r>
    </w:p>
    <w:p>
      <w:pPr>
        <w:keepNext/>
        <w:spacing w:before="360" w:after="120"/>
      </w:pPr>
      <w:r>
        <w:rPr>
          <w:rFonts w:ascii="Calibri" w:hAnsi="Calibri"/>
          <w:b/>
          <w:color w:val="0A1FD4"/>
          <w:sz w:val="28"/>
        </w:rPr>
        <w:t>2. Latar Belakang &amp; Analisis Masalah Pasar</w:t>
      </w:r>
    </w:p>
    <w:p>
      <w:pPr>
        <w:spacing w:after="120" w:line="276" w:lineRule="auto"/>
      </w:pPr>
      <w:r>
        <w:rPr>
          <w:rFonts w:ascii="Calibri" w:hAnsi="Calibri"/>
          <w:color w:val="0F172A"/>
          <w:sz w:val="21"/>
        </w:rPr>
        <w:t>Ekonomi kreatif digital Indonesia menyumbang jutaan tenaga kerja lepas di sektor teknologi, desain grafis, video editing, dan pemasaran digital. Namun, 82% kesepakatan proyek masih dilakukan secara informal tanpa perlindungan tertulis yang memadai. Kondisi ini memicu 4 masalah fatal:</w:t>
      </w:r>
    </w:p>
    <w:p>
      <w:pPr>
        <w:pStyle w:val="ListBullet"/>
        <w:spacing w:after="80" w:line="276" w:lineRule="auto"/>
      </w:pPr>
      <w:r>
        <w:rPr>
          <w:rFonts w:ascii="Calibri" w:hAnsi="Calibri"/>
          <w:b/>
          <w:color w:val="0F172A"/>
          <w:sz w:val="21"/>
        </w:rPr>
        <w:t xml:space="preserve">Scope Creep Tak Terkendali: </w:t>
      </w:r>
      <w:r>
        <w:rPr>
          <w:rFonts w:ascii="Calibri" w:hAnsi="Calibri"/>
          <w:color w:val="0F172A"/>
          <w:sz w:val="21"/>
        </w:rPr>
        <w:t>Klien meminta penambahan fitur, revisi visual drastis, atau output di luar rencana awal tanpa tambahan biaya, karena batasan deliverable awal tidak pernah dikunci secara resmi.</w:t>
      </w:r>
    </w:p>
    <w:p>
      <w:pPr>
        <w:pStyle w:val="ListBullet"/>
        <w:spacing w:after="80" w:line="276" w:lineRule="auto"/>
      </w:pPr>
      <w:r>
        <w:rPr>
          <w:rFonts w:ascii="Calibri" w:hAnsi="Calibri"/>
          <w:b/>
          <w:color w:val="0F172A"/>
          <w:sz w:val="21"/>
        </w:rPr>
        <w:t xml:space="preserve">Ghosting &amp; Gagal Bayar Saat Pelunasan: </w:t>
      </w:r>
      <w:r>
        <w:rPr>
          <w:rFonts w:ascii="Calibri" w:hAnsi="Calibri"/>
          <w:color w:val="0F172A"/>
          <w:sz w:val="21"/>
        </w:rPr>
        <w:t>Banyak freelancer menyerahkan aset final sebelum pembayaran akhir diterima, yang berujung pada klien menghilang atau menunda pembayaran berbulan-bulan.</w:t>
      </w:r>
    </w:p>
    <w:p>
      <w:pPr>
        <w:pStyle w:val="ListBullet"/>
        <w:spacing w:after="80" w:line="276" w:lineRule="auto"/>
      </w:pPr>
      <w:r>
        <w:rPr>
          <w:rFonts w:ascii="Calibri" w:hAnsi="Calibri"/>
          <w:b/>
          <w:color w:val="0F172A"/>
          <w:sz w:val="21"/>
        </w:rPr>
        <w:t xml:space="preserve">Kesepakatan Ketik Tersebar: </w:t>
      </w:r>
      <w:r>
        <w:rPr>
          <w:rFonts w:ascii="Calibri" w:hAnsi="Calibri"/>
          <w:color w:val="0F172A"/>
          <w:sz w:val="21"/>
        </w:rPr>
        <w:t>Rincian revisi dan instruksi proyek terpisah di puluhan chat WhatsApp panjang, menyulitkan kedua belah pihak membuktikan apa yang sebenarnya telah disepakati.</w:t>
      </w:r>
    </w:p>
    <w:p>
      <w:pPr>
        <w:pStyle w:val="ListBullet"/>
        <w:spacing w:after="80" w:line="276" w:lineRule="auto"/>
      </w:pPr>
      <w:r>
        <w:rPr>
          <w:rFonts w:ascii="Calibri" w:hAnsi="Calibri"/>
          <w:b/>
          <w:color w:val="0F172A"/>
          <w:sz w:val="21"/>
        </w:rPr>
        <w:t xml:space="preserve">Akses Hukum Formal Mahal &amp; Rumit: </w:t>
      </w:r>
      <w:r>
        <w:rPr>
          <w:rFonts w:ascii="Calibri" w:hAnsi="Calibri"/>
          <w:color w:val="0F172A"/>
          <w:sz w:val="21"/>
        </w:rPr>
        <w:t>Jasa konsultan hukum atau notaris terlalu mahal untuk proyek freelancer bernilai Rp3 juta hingga Rp20 juta, sementara template PDF gratis di Google rentan diubah sepihak tanpa rekam jejak.</w:t>
      </w:r>
    </w:p>
    <w:p>
      <w:pPr>
        <w:keepNext/>
        <w:spacing w:before="360" w:after="120"/>
      </w:pPr>
      <w:r>
        <w:rPr>
          <w:rFonts w:ascii="Calibri" w:hAnsi="Calibri"/>
          <w:b/>
          <w:color w:val="0A1FD4"/>
          <w:sz w:val="28"/>
        </w:rPr>
        <w:t>3. Solusi &amp; Fitur Inovasi KontrakKu</w:t>
      </w:r>
    </w:p>
    <w:p>
      <w:pPr>
        <w:spacing w:after="120" w:line="276" w:lineRule="auto"/>
      </w:pPr>
      <w:r>
        <w:rPr>
          <w:rFonts w:ascii="Calibri" w:hAnsi="Calibri"/>
          <w:color w:val="0F172A"/>
          <w:sz w:val="21"/>
        </w:rPr>
        <w:t>KontrakKu hadir sebagai jembatan yang praktis, elegan, dan terjangkau dengan menyatukan 5 pilar inovasi:</w:t>
      </w:r>
    </w:p>
    <w:p>
      <w:pPr>
        <w:pStyle w:val="ListBullet"/>
        <w:spacing w:after="80" w:line="276" w:lineRule="auto"/>
      </w:pPr>
      <w:r>
        <w:rPr>
          <w:rFonts w:ascii="Calibri" w:hAnsi="Calibri"/>
          <w:b/>
          <w:color w:val="0F172A"/>
          <w:sz w:val="21"/>
        </w:rPr>
        <w:t xml:space="preserve">Structured Agreement Builder (5 Blok Vital): </w:t>
      </w:r>
      <w:r>
        <w:rPr>
          <w:rFonts w:ascii="Calibri" w:hAnsi="Calibri"/>
          <w:color w:val="0F172A"/>
          <w:sz w:val="21"/>
        </w:rPr>
        <w:t>Panduan pembuatan kontrak siap pakai yang mewajibkan kejelasan: (1) Ruang Lingkup &amp; Pengecualian (Exclusions), (2) Milestone &amp; Termin Pembayaran, (3) Kuota Revisi &amp; Tarif Revisi Tambahan, (4) Hak Cipta &amp; Source Code, serta (5) Ketentuan Pembatalan.</w:t>
      </w:r>
    </w:p>
    <w:p>
      <w:pPr>
        <w:pStyle w:val="ListBullet"/>
        <w:spacing w:after="80" w:line="276" w:lineRule="auto"/>
      </w:pPr>
      <w:r>
        <w:rPr>
          <w:rFonts w:ascii="Calibri" w:hAnsi="Calibri"/>
          <w:b/>
          <w:color w:val="0F172A"/>
          <w:sz w:val="21"/>
        </w:rPr>
        <w:t xml:space="preserve">Client Review Portal Tanpa Registrasi: </w:t>
      </w:r>
      <w:r>
        <w:rPr>
          <w:rFonts w:ascii="Calibri" w:hAnsi="Calibri"/>
          <w:color w:val="0F172A"/>
          <w:sz w:val="21"/>
        </w:rPr>
        <w:t>Klien menerima tautan aman unik untuk meninjau dokumen di browser desktop maupun ponsel. Klien dapat menyetujui langsung dengan tanda tangan digital atau mengajukan usulan revisi klausul secara formal.</w:t>
      </w:r>
    </w:p>
    <w:p>
      <w:pPr>
        <w:pStyle w:val="ListBullet"/>
        <w:spacing w:after="80" w:line="276" w:lineRule="auto"/>
      </w:pPr>
      <w:r>
        <w:rPr>
          <w:rFonts w:ascii="Calibri" w:hAnsi="Calibri"/>
          <w:b/>
          <w:color w:val="0F172A"/>
          <w:sz w:val="21"/>
        </w:rPr>
        <w:t xml:space="preserve">Integrasi e-Materai Resmi RI &amp; Tata Letak Legal: </w:t>
      </w:r>
      <w:r>
        <w:rPr>
          <w:rFonts w:ascii="Calibri" w:hAnsi="Calibri"/>
          <w:color w:val="0F172A"/>
          <w:sz w:val="21"/>
        </w:rPr>
        <w:t>Sesuai regulasi UU Bea Meterai No. 10 Tahun 2020, KontrakKu menyediakan tautan langsung ke portal resmi penyedia e-Materai RI (e-meterai.co.id) dan sistem unggah e-materai otomatis. Tata letak dokumen diatur presisi: e-materai diletakkan di kolom tanda tangan klien, dan tanda tangan dibubuhkan di samping kanan meterai (tidak menimpa fisik meterai).</w:t>
      </w:r>
    </w:p>
    <w:p>
      <w:pPr>
        <w:pStyle w:val="ListBullet"/>
        <w:spacing w:after="80" w:line="276" w:lineRule="auto"/>
      </w:pPr>
      <w:r>
        <w:rPr>
          <w:rFonts w:ascii="Calibri" w:hAnsi="Calibri"/>
          <w:b/>
          <w:color w:val="0F172A"/>
          <w:sz w:val="21"/>
        </w:rPr>
        <w:t xml:space="preserve">Segel Keamanan Digital Anti-Manipulasi: </w:t>
      </w:r>
      <w:r>
        <w:rPr>
          <w:rFonts w:ascii="Calibri" w:hAnsi="Calibri"/>
          <w:color w:val="0F172A"/>
          <w:sz w:val="21"/>
        </w:rPr>
        <w:t>Setiap kali kesepakatan disetujui, data dikunci secara permanen. Modifikasi sepihak di luar sistem akan langsung terdeteksi sebagai dokumen tidak valid.</w:t>
      </w:r>
    </w:p>
    <w:p>
      <w:pPr>
        <w:pStyle w:val="ListBullet"/>
        <w:spacing w:after="80" w:line="276" w:lineRule="auto"/>
      </w:pPr>
      <w:r>
        <w:rPr>
          <w:rFonts w:ascii="Calibri" w:hAnsi="Calibri"/>
          <w:b/>
          <w:color w:val="0F172A"/>
          <w:sz w:val="21"/>
        </w:rPr>
        <w:t xml:space="preserve">Gateway Verifikasi Publik Instan (Contract ID &amp; QR): </w:t>
      </w:r>
      <w:r>
        <w:rPr>
          <w:rFonts w:ascii="Calibri" w:hAnsi="Calibri"/>
          <w:color w:val="0F172A"/>
          <w:sz w:val="21"/>
        </w:rPr>
        <w:t>Setiap kontrak memiliki nomor identitas unik (contoh: KK-2026-00124) dan QR Code resmi yang dapat dipindai oleh bank, klien, atau pihak ketiga untuk memvalidasi keaslian dokumen secara real-time.</w:t>
      </w:r>
    </w:p>
    <w:p>
      <w:pPr>
        <w:keepNext/>
        <w:spacing w:before="360" w:after="120"/>
      </w:pPr>
      <w:r>
        <w:rPr>
          <w:rFonts w:ascii="Calibri" w:hAnsi="Calibri"/>
          <w:b/>
          <w:color w:val="0A1FD4"/>
          <w:sz w:val="28"/>
        </w:rPr>
        <w:t>4. Perbandingan KontrakKu vs Alternatif Lain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1F5F9"/>
            <w:tcMar>
              <w:top w:w="120" w:type="dxa"/>
              <w:bottom w:w="120" w:type="dxa"/>
              <w:left w:w="140" w:type="dxa"/>
              <w:right w:w="140" w:type="dxa"/>
            </w:tcMar>
          </w:tcPr>
          <w:p>
            <w:r>
              <w:rPr>
                <w:rFonts w:ascii="Calibri" w:hAnsi="Calibri"/>
                <w:b/>
                <w:color w:val="0F172A"/>
                <w:sz w:val="19"/>
              </w:rPr>
              <w:t>Dimensi Perbandingan</w:t>
            </w:r>
          </w:p>
        </w:tc>
        <w:tc>
          <w:tcPr>
            <w:tcW w:type="dxa" w:w="2340"/>
            <w:shd w:fill="F1F5F9"/>
            <w:tcMar>
              <w:top w:w="120" w:type="dxa"/>
              <w:bottom w:w="120" w:type="dxa"/>
              <w:left w:w="140" w:type="dxa"/>
              <w:right w:w="140" w:type="dxa"/>
            </w:tcMar>
          </w:tcPr>
          <w:p>
            <w:r>
              <w:rPr>
                <w:rFonts w:ascii="Calibri" w:hAnsi="Calibri"/>
                <w:b/>
                <w:color w:val="0F172A"/>
                <w:sz w:val="19"/>
              </w:rPr>
              <w:t>Chat WA / Verbal</w:t>
            </w:r>
          </w:p>
        </w:tc>
        <w:tc>
          <w:tcPr>
            <w:tcW w:type="dxa" w:w="2340"/>
            <w:shd w:fill="F1F5F9"/>
            <w:tcMar>
              <w:top w:w="120" w:type="dxa"/>
              <w:bottom w:w="120" w:type="dxa"/>
              <w:left w:w="140" w:type="dxa"/>
              <w:right w:w="140" w:type="dxa"/>
            </w:tcMar>
          </w:tcPr>
          <w:p>
            <w:r>
              <w:rPr>
                <w:rFonts w:ascii="Calibri" w:hAnsi="Calibri"/>
                <w:b/>
                <w:color w:val="0F172A"/>
                <w:sz w:val="19"/>
              </w:rPr>
              <w:t>Google Docs / PDF</w:t>
            </w:r>
          </w:p>
        </w:tc>
        <w:tc>
          <w:tcPr>
            <w:tcW w:type="dxa" w:w="2340"/>
            <w:shd w:fill="0A1FD4"/>
            <w:tcMar>
              <w:top w:w="120" w:type="dxa"/>
              <w:bottom w:w="120" w:type="dxa"/>
              <w:left w:w="140" w:type="dxa"/>
              <w:right w:w="140" w:type="dxa"/>
            </w:tcMar>
          </w:tcPr>
          <w:p>
            <w:r>
              <w:rPr>
                <w:rFonts w:ascii="Calibri" w:hAnsi="Calibri"/>
                <w:b/>
                <w:color w:val="FFFFFF"/>
                <w:sz w:val="19"/>
              </w:rPr>
              <w:t>KontrakKu</w:t>
            </w:r>
          </w:p>
        </w:tc>
      </w:tr>
      <w:tr>
        <w:tc>
          <w:tcPr>
            <w:tcW w:type="dxa" w:w="2340"/>
            <w:shd w:fill="FFFFFF"/>
            <w:tcMar>
              <w:top w:w="90" w:type="dxa"/>
              <w:bottom w:w="90" w:type="dxa"/>
              <w:left w:w="120" w:type="dxa"/>
              <w:right w:w="120" w:type="dxa"/>
            </w:tcMar>
          </w:tcPr>
          <w:p>
            <w:r>
              <w:rPr>
                <w:rFonts w:ascii="Calibri" w:hAnsi="Calibri"/>
                <w:b/>
                <w:color w:val="0F172A"/>
                <w:sz w:val="18"/>
              </w:rPr>
              <w:t>Pencegahan Scope Creep</w:t>
            </w:r>
          </w:p>
        </w:tc>
        <w:tc>
          <w:tcPr>
            <w:tcW w:type="dxa" w:w="2340"/>
            <w:shd w:fill="FFFFFF"/>
            <w:tcMar>
              <w:top w:w="90" w:type="dxa"/>
              <w:bottom w:w="90" w:type="dxa"/>
              <w:left w:w="120" w:type="dxa"/>
              <w:right w:w="120" w:type="dxa"/>
            </w:tcMar>
          </w:tcPr>
          <w:p>
            <w:r>
              <w:rPr>
                <w:rFonts w:ascii="Calibri" w:hAnsi="Calibri"/>
                <w:color w:val="0F172A"/>
                <w:sz w:val="18"/>
              </w:rPr>
              <w:t>Sangat Rentan</w:t>
            </w:r>
          </w:p>
        </w:tc>
        <w:tc>
          <w:tcPr>
            <w:tcW w:type="dxa" w:w="2340"/>
            <w:shd w:fill="FFFFFF"/>
            <w:tcMar>
              <w:top w:w="90" w:type="dxa"/>
              <w:bottom w:w="90" w:type="dxa"/>
              <w:left w:w="120" w:type="dxa"/>
              <w:right w:w="120" w:type="dxa"/>
            </w:tcMar>
          </w:tcPr>
          <w:p>
            <w:r>
              <w:rPr>
                <w:rFonts w:ascii="Calibri" w:hAnsi="Calibri"/>
                <w:color w:val="0F172A"/>
                <w:sz w:val="18"/>
              </w:rPr>
              <w:t>Rentan Berdebat</w:t>
            </w:r>
          </w:p>
        </w:tc>
        <w:tc>
          <w:tcPr>
            <w:tcW w:type="dxa" w:w="2340"/>
            <w:shd w:fill="F0F4FF"/>
            <w:tcMar>
              <w:top w:w="90" w:type="dxa"/>
              <w:bottom w:w="90" w:type="dxa"/>
              <w:left w:w="120" w:type="dxa"/>
              <w:right w:w="120" w:type="dxa"/>
            </w:tcMar>
          </w:tcPr>
          <w:p>
            <w:r>
              <w:rPr>
                <w:rFonts w:ascii="Calibri" w:hAnsi="Calibri"/>
                <w:b/>
                <w:color w:val="0A1FD4"/>
                <w:sz w:val="18"/>
              </w:rPr>
              <w:t>Terkunci Ketat via Deliverables &amp; Exclusions</w:t>
            </w:r>
          </w:p>
        </w:tc>
      </w:tr>
      <w:tr>
        <w:tc>
          <w:tcPr>
            <w:tcW w:type="dxa" w:w="2340"/>
            <w:shd w:fill="F8FAFC"/>
            <w:tcMar>
              <w:top w:w="90" w:type="dxa"/>
              <w:bottom w:w="90" w:type="dxa"/>
              <w:left w:w="120" w:type="dxa"/>
              <w:right w:w="120" w:type="dxa"/>
            </w:tcMar>
          </w:tcPr>
          <w:p>
            <w:r>
              <w:rPr>
                <w:rFonts w:ascii="Calibri" w:hAnsi="Calibri"/>
                <w:b/>
                <w:color w:val="0F172A"/>
                <w:sz w:val="18"/>
              </w:rPr>
              <w:t>Tanda Tangan &amp; e-Materai</w:t>
            </w:r>
          </w:p>
        </w:tc>
        <w:tc>
          <w:tcPr>
            <w:tcW w:type="dxa" w:w="2340"/>
            <w:shd w:fill="F8FAFC"/>
            <w:tcMar>
              <w:top w:w="90" w:type="dxa"/>
              <w:bottom w:w="90" w:type="dxa"/>
              <w:left w:w="120" w:type="dxa"/>
              <w:right w:w="120" w:type="dxa"/>
            </w:tcMar>
          </w:tcPr>
          <w:p>
            <w:r>
              <w:rPr>
                <w:rFonts w:ascii="Calibri" w:hAnsi="Calibri"/>
                <w:color w:val="0F172A"/>
                <w:sz w:val="18"/>
              </w:rPr>
              <w:t>Tidak Ada</w:t>
            </w:r>
          </w:p>
        </w:tc>
        <w:tc>
          <w:tcPr>
            <w:tcW w:type="dxa" w:w="2340"/>
            <w:shd w:fill="F8FAFC"/>
            <w:tcMar>
              <w:top w:w="90" w:type="dxa"/>
              <w:bottom w:w="90" w:type="dxa"/>
              <w:left w:w="120" w:type="dxa"/>
              <w:right w:w="120" w:type="dxa"/>
            </w:tcMar>
          </w:tcPr>
          <w:p>
            <w:r>
              <w:rPr>
                <w:rFonts w:ascii="Calibri" w:hAnsi="Calibri"/>
                <w:color w:val="0F172A"/>
                <w:sz w:val="18"/>
              </w:rPr>
              <w:t>Manual / Tempel Gambar</w:t>
            </w:r>
          </w:p>
        </w:tc>
        <w:tc>
          <w:tcPr>
            <w:tcW w:type="dxa" w:w="2340"/>
            <w:shd w:fill="F0F4FF"/>
            <w:tcMar>
              <w:top w:w="90" w:type="dxa"/>
              <w:bottom w:w="90" w:type="dxa"/>
              <w:left w:w="120" w:type="dxa"/>
              <w:right w:w="120" w:type="dxa"/>
            </w:tcMar>
          </w:tcPr>
          <w:p>
            <w:r>
              <w:rPr>
                <w:rFonts w:ascii="Calibri" w:hAnsi="Calibri"/>
                <w:b/>
                <w:color w:val="0A1FD4"/>
                <w:sz w:val="18"/>
              </w:rPr>
              <w:t>Alur Digital Sah + Panduan Resmi e-Materai RI</w:t>
            </w:r>
          </w:p>
        </w:tc>
      </w:tr>
      <w:tr>
        <w:tc>
          <w:tcPr>
            <w:tcW w:type="dxa" w:w="2340"/>
            <w:shd w:fill="FFFFFF"/>
            <w:tcMar>
              <w:top w:w="90" w:type="dxa"/>
              <w:bottom w:w="90" w:type="dxa"/>
              <w:left w:w="120" w:type="dxa"/>
              <w:right w:w="120" w:type="dxa"/>
            </w:tcMar>
          </w:tcPr>
          <w:p>
            <w:r>
              <w:rPr>
                <w:rFonts w:ascii="Calibri" w:hAnsi="Calibri"/>
                <w:b/>
                <w:color w:val="0F172A"/>
                <w:sz w:val="18"/>
              </w:rPr>
              <w:t>Bukti Keaslian Anti-Edit</w:t>
            </w:r>
          </w:p>
        </w:tc>
        <w:tc>
          <w:tcPr>
            <w:tcW w:type="dxa" w:w="2340"/>
            <w:shd w:fill="FFFFFF"/>
            <w:tcMar>
              <w:top w:w="90" w:type="dxa"/>
              <w:bottom w:w="90" w:type="dxa"/>
              <w:left w:w="120" w:type="dxa"/>
              <w:right w:w="120" w:type="dxa"/>
            </w:tcMar>
          </w:tcPr>
          <w:p>
            <w:r>
              <w:rPr>
                <w:rFonts w:ascii="Calibri" w:hAnsi="Calibri"/>
                <w:color w:val="0F172A"/>
                <w:sz w:val="18"/>
              </w:rPr>
              <w:t>Tidak Ada</w:t>
            </w:r>
          </w:p>
        </w:tc>
        <w:tc>
          <w:tcPr>
            <w:tcW w:type="dxa" w:w="2340"/>
            <w:shd w:fill="FFFFFF"/>
            <w:tcMar>
              <w:top w:w="90" w:type="dxa"/>
              <w:bottom w:w="90" w:type="dxa"/>
              <w:left w:w="120" w:type="dxa"/>
              <w:right w:w="120" w:type="dxa"/>
            </w:tcMar>
          </w:tcPr>
          <w:p>
            <w:r>
              <w:rPr>
                <w:rFonts w:ascii="Calibri" w:hAnsi="Calibri"/>
                <w:color w:val="0F172A"/>
                <w:sz w:val="18"/>
              </w:rPr>
              <w:t>Mudah Dimanipulasi</w:t>
            </w:r>
          </w:p>
        </w:tc>
        <w:tc>
          <w:tcPr>
            <w:tcW w:type="dxa" w:w="2340"/>
            <w:shd w:fill="F0F4FF"/>
            <w:tcMar>
              <w:top w:w="90" w:type="dxa"/>
              <w:bottom w:w="90" w:type="dxa"/>
              <w:left w:w="120" w:type="dxa"/>
              <w:right w:w="120" w:type="dxa"/>
            </w:tcMar>
          </w:tcPr>
          <w:p>
            <w:r>
              <w:rPr>
                <w:rFonts w:ascii="Calibri" w:hAnsi="Calibri"/>
                <w:b/>
                <w:color w:val="0A1FD4"/>
                <w:sz w:val="18"/>
              </w:rPr>
              <w:t>Segel Keamanan Digital &amp; Audit Log</w:t>
            </w:r>
          </w:p>
        </w:tc>
      </w:tr>
      <w:tr>
        <w:tc>
          <w:tcPr>
            <w:tcW w:type="dxa" w:w="2340"/>
            <w:shd w:fill="F8FAFC"/>
            <w:tcMar>
              <w:top w:w="90" w:type="dxa"/>
              <w:bottom w:w="90" w:type="dxa"/>
              <w:left w:w="120" w:type="dxa"/>
              <w:right w:w="120" w:type="dxa"/>
            </w:tcMar>
          </w:tcPr>
          <w:p>
            <w:r>
              <w:rPr>
                <w:rFonts w:ascii="Calibri" w:hAnsi="Calibri"/>
                <w:b/>
                <w:color w:val="0F172A"/>
                <w:sz w:val="18"/>
              </w:rPr>
              <w:t>Verifikasi Publik Instan</w:t>
            </w:r>
          </w:p>
        </w:tc>
        <w:tc>
          <w:tcPr>
            <w:tcW w:type="dxa" w:w="2340"/>
            <w:shd w:fill="F8FAFC"/>
            <w:tcMar>
              <w:top w:w="90" w:type="dxa"/>
              <w:bottom w:w="90" w:type="dxa"/>
              <w:left w:w="120" w:type="dxa"/>
              <w:right w:w="120" w:type="dxa"/>
            </w:tcMar>
          </w:tcPr>
          <w:p>
            <w:r>
              <w:rPr>
                <w:rFonts w:ascii="Calibri" w:hAnsi="Calibri"/>
                <w:color w:val="0F172A"/>
                <w:sz w:val="18"/>
              </w:rPr>
              <w:t>Tidak Ada</w:t>
            </w:r>
          </w:p>
        </w:tc>
        <w:tc>
          <w:tcPr>
            <w:tcW w:type="dxa" w:w="2340"/>
            <w:shd w:fill="F8FAFC"/>
            <w:tcMar>
              <w:top w:w="90" w:type="dxa"/>
              <w:bottom w:w="90" w:type="dxa"/>
              <w:left w:w="120" w:type="dxa"/>
              <w:right w:w="120" w:type="dxa"/>
            </w:tcMar>
          </w:tcPr>
          <w:p>
            <w:r>
              <w:rPr>
                <w:rFonts w:ascii="Calibri" w:hAnsi="Calibri"/>
                <w:color w:val="0F172A"/>
                <w:sz w:val="18"/>
              </w:rPr>
              <w:t>Tidak Ada</w:t>
            </w:r>
          </w:p>
        </w:tc>
        <w:tc>
          <w:tcPr>
            <w:tcW w:type="dxa" w:w="2340"/>
            <w:shd w:fill="F0F4FF"/>
            <w:tcMar>
              <w:top w:w="90" w:type="dxa"/>
              <w:bottom w:w="90" w:type="dxa"/>
              <w:left w:w="120" w:type="dxa"/>
              <w:right w:w="120" w:type="dxa"/>
            </w:tcMar>
          </w:tcPr>
          <w:p>
            <w:r>
              <w:rPr>
                <w:rFonts w:ascii="Calibri" w:hAnsi="Calibri"/>
                <w:b/>
                <w:color w:val="0A1FD4"/>
                <w:sz w:val="18"/>
              </w:rPr>
              <w:t>QR Code + Contract ID Terintegrasi</w:t>
            </w:r>
          </w:p>
        </w:tc>
      </w:tr>
    </w:tbl>
    <w:p>
      <w:pPr>
        <w:keepNext/>
        <w:spacing w:before="360" w:after="120"/>
      </w:pPr>
      <w:r>
        <w:rPr>
          <w:rFonts w:ascii="Calibri" w:hAnsi="Calibri"/>
          <w:b/>
          <w:color w:val="0A1FD4"/>
          <w:sz w:val="28"/>
        </w:rPr>
        <w:t>5. Model Monetisasi &amp; Kelayakan Unit Economics</w:t>
      </w:r>
    </w:p>
    <w:p>
      <w:pPr>
        <w:spacing w:after="120" w:line="276" w:lineRule="auto"/>
      </w:pPr>
      <w:r>
        <w:rPr>
          <w:rFonts w:ascii="Calibri" w:hAnsi="Calibri"/>
          <w:color w:val="0F172A"/>
          <w:sz w:val="21"/>
        </w:rPr>
        <w:t>KontrakKu mengadopsi model bisnis freemium yang ramah terhadap kantong freelancer di awal, namun terbukti menguntungkan melalui volume transaksi pay-per-project:</w:t>
      </w:r>
    </w:p>
    <w:p>
      <w:pPr>
        <w:pStyle w:val="ListBullet"/>
        <w:spacing w:after="80" w:line="276" w:lineRule="auto"/>
      </w:pPr>
      <w:r>
        <w:rPr>
          <w:rFonts w:ascii="Calibri" w:hAnsi="Calibri"/>
          <w:b/>
          <w:color w:val="0F172A"/>
          <w:sz w:val="21"/>
        </w:rPr>
        <w:t xml:space="preserve">Tier FREE (Rp0): </w:t>
      </w:r>
      <w:r>
        <w:rPr>
          <w:rFonts w:ascii="Calibri" w:hAnsi="Calibri"/>
          <w:color w:val="0F172A"/>
          <w:sz w:val="21"/>
        </w:rPr>
        <w:t>Dua kesepakatan aktif, formulir standar, digital approval 2 belah pihak, dan ekspor cetak PDF.</w:t>
      </w:r>
    </w:p>
    <w:p>
      <w:pPr>
        <w:pStyle w:val="ListBullet"/>
        <w:spacing w:after="80" w:line="276" w:lineRule="auto"/>
      </w:pPr>
      <w:r>
        <w:rPr>
          <w:rFonts w:ascii="Calibri" w:hAnsi="Calibri"/>
          <w:b/>
          <w:color w:val="0F172A"/>
          <w:sz w:val="21"/>
        </w:rPr>
        <w:t xml:space="preserve">Pay-per-Project (Rp19.000 / kesepakatan): </w:t>
      </w:r>
      <w:r>
        <w:rPr>
          <w:rFonts w:ascii="Calibri" w:hAnsi="Calibri"/>
          <w:color w:val="0F172A"/>
          <w:sz w:val="21"/>
        </w:rPr>
        <w:t>Paling populer. Akses fitur e-Materai resmi, versioning tak terbatas, modul change request resmi, dan segel verifikasi penuh tanpa ikatan langganan bulanan.</w:t>
      </w:r>
    </w:p>
    <w:p>
      <w:pPr>
        <w:pStyle w:val="ListBullet"/>
        <w:spacing w:after="80" w:line="276" w:lineRule="auto"/>
      </w:pPr>
      <w:r>
        <w:rPr>
          <w:rFonts w:ascii="Calibri" w:hAnsi="Calibri"/>
          <w:b/>
          <w:color w:val="0F172A"/>
          <w:sz w:val="21"/>
        </w:rPr>
        <w:t xml:space="preserve">Pro Subscription (Rp49.000 / bulan): </w:t>
      </w:r>
      <w:r>
        <w:rPr>
          <w:rFonts w:ascii="Calibri" w:hAnsi="Calibri"/>
          <w:color w:val="0F172A"/>
          <w:sz w:val="21"/>
        </w:rPr>
        <w:t>Proyek tak terbatas, buku kontak klien, dashboard status pembayaran termin, dan custom branding logo di dokumen cetak.</w:t>
      </w:r>
    </w:p>
    <w:p>
      <w:pPr>
        <w:spacing w:after="120" w:line="276" w:lineRule="auto"/>
      </w:pPr>
      <w:r>
        <w:rPr>
          <w:rFonts w:ascii="Calibri" w:hAnsi="Calibri"/>
          <w:b/>
          <w:color w:val="0F172A"/>
          <w:sz w:val="21"/>
        </w:rPr>
        <w:t xml:space="preserve">Analisis Rasio Biaya: </w:t>
      </w:r>
      <w:r>
        <w:rPr>
          <w:rFonts w:ascii="Calibri" w:hAnsi="Calibri"/>
          <w:color w:val="0F172A"/>
          <w:sz w:val="21"/>
        </w:rPr>
        <w:t>Simulasi Unit Economics Proteksi:</w:t>
      </w:r>
    </w:p>
    <w:p>
      <w:pPr>
        <w:spacing w:after="120" w:line="276" w:lineRule="auto"/>
      </w:pPr>
      <w:r>
        <w:rPr>
          <w:rFonts w:ascii="Calibri" w:hAnsi="Calibri"/>
          <w:color w:val="0F172A"/>
          <w:sz w:val="21"/>
        </w:rPr>
        <w:t>Pada rata-rata proyek website atau aplikasi lepas senilai Rp8.000.000, biaya Rp19.000 hanya setara dengan 0,2375% dari total nilai proyek. Freelancer mendapatkan 99,76% proteksi kepastian nilai proyek dengan biaya yang tidak lebih mahal dari segelas kopi sachet.</w:t>
      </w:r>
    </w:p>
    <w:p>
      <w:pPr>
        <w:keepNext/>
        <w:spacing w:before="360" w:after="120"/>
      </w:pPr>
      <w:r>
        <w:rPr>
          <w:rFonts w:ascii="Calibri" w:hAnsi="Calibri"/>
          <w:b/>
          <w:color w:val="0A1FD4"/>
          <w:sz w:val="28"/>
        </w:rPr>
        <w:t>6. Panduan Alur Demo 5 Menit (Competition Pitch)</w:t>
      </w:r>
    </w:p>
    <w:p>
      <w:pPr>
        <w:pStyle w:val="ListBullet"/>
        <w:spacing w:after="80" w:line="276" w:lineRule="auto"/>
      </w:pPr>
      <w:r>
        <w:rPr>
          <w:rFonts w:ascii="Calibri" w:hAnsi="Calibri"/>
          <w:b/>
          <w:color w:val="0F172A"/>
          <w:sz w:val="21"/>
        </w:rPr>
        <w:t xml:space="preserve">Menit 0:00 - 0:45 (Hook &amp; Problem): </w:t>
      </w:r>
      <w:r>
        <w:rPr>
          <w:rFonts w:ascii="Calibri" w:hAnsi="Calibri"/>
          <w:color w:val="0F172A"/>
          <w:sz w:val="21"/>
        </w:rPr>
        <w:t>Tampilkan obrolan chat WhatsApp freelancer yang ditagih revisi ke-15 tanpa dibayar. Tegaskan masalah: 68% freelancer mengalami scope creep dan ghosting.</w:t>
      </w:r>
    </w:p>
    <w:p>
      <w:pPr>
        <w:pStyle w:val="ListBullet"/>
        <w:spacing w:after="80" w:line="276" w:lineRule="auto"/>
      </w:pPr>
      <w:r>
        <w:rPr>
          <w:rFonts w:ascii="Calibri" w:hAnsi="Calibri"/>
          <w:b/>
          <w:color w:val="0F172A"/>
          <w:sz w:val="21"/>
        </w:rPr>
        <w:t xml:space="preserve">Menit 0:45 - 1:45 (Solusi KontrakKu): </w:t>
      </w:r>
      <w:r>
        <w:rPr>
          <w:rFonts w:ascii="Calibri" w:hAnsi="Calibri"/>
          <w:color w:val="0F172A"/>
          <w:sz w:val="21"/>
        </w:rPr>
        <w:t>Buka KontrakKu Homepage. Tunjukkan betapa cepatnya freelancer membuat kesepakatan baru dengan 5 klausul perlindungan dalam hitungan menit.</w:t>
      </w:r>
    </w:p>
    <w:p>
      <w:pPr>
        <w:pStyle w:val="ListBullet"/>
        <w:spacing w:after="80" w:line="276" w:lineRule="auto"/>
      </w:pPr>
      <w:r>
        <w:rPr>
          <w:rFonts w:ascii="Calibri" w:hAnsi="Calibri"/>
          <w:b/>
          <w:color w:val="0F172A"/>
          <w:sz w:val="21"/>
        </w:rPr>
        <w:t xml:space="preserve">Menit 1:45 - 2:45 (Client Approval &amp; e-Materai): </w:t>
      </w:r>
      <w:r>
        <w:rPr>
          <w:rFonts w:ascii="Calibri" w:hAnsi="Calibri"/>
          <w:color w:val="0F172A"/>
          <w:sz w:val="21"/>
        </w:rPr>
        <w:t>Simulasikan link yang dibuka klien di mobile. Klien tanda tangan digital. Freelancer mengunggah e-Materai resmi dari e-meterai.co.id. Tunjukkan tata letak presisi di samping kanan e-materai.</w:t>
      </w:r>
    </w:p>
    <w:p>
      <w:pPr>
        <w:pStyle w:val="ListBullet"/>
        <w:spacing w:after="80" w:line="276" w:lineRule="auto"/>
      </w:pPr>
      <w:r>
        <w:rPr>
          <w:rFonts w:ascii="Calibri" w:hAnsi="Calibri"/>
          <w:b/>
          <w:color w:val="0F172A"/>
          <w:sz w:val="21"/>
        </w:rPr>
        <w:t xml:space="preserve">Menit 2:45 - 3:45 (Segel Digital &amp; Verifikasi Publik): </w:t>
      </w:r>
      <w:r>
        <w:rPr>
          <w:rFonts w:ascii="Calibri" w:hAnsi="Calibri"/>
          <w:color w:val="0F172A"/>
          <w:sz w:val="21"/>
        </w:rPr>
        <w:t>Buka halaman Verifikasi Publik (/verify). Masukkan Contract ID KK-2026-00124. Tunjukkan status 'ASLI &amp; TERKUNCI' serta QR Code yang dapat langsung diverifikasi.</w:t>
      </w:r>
    </w:p>
    <w:p>
      <w:pPr>
        <w:pStyle w:val="ListBullet"/>
        <w:spacing w:after="80" w:line="276" w:lineRule="auto"/>
      </w:pPr>
      <w:r>
        <w:rPr>
          <w:rFonts w:ascii="Calibri" w:hAnsi="Calibri"/>
          <w:b/>
          <w:color w:val="0F172A"/>
          <w:sz w:val="21"/>
        </w:rPr>
        <w:t xml:space="preserve">Menit 3:45 - 5:00 (Monetisasi, Traction &amp; Closing): </w:t>
      </w:r>
      <w:r>
        <w:rPr>
          <w:rFonts w:ascii="Calibri" w:hAnsi="Calibri"/>
          <w:color w:val="0F172A"/>
          <w:sz w:val="21"/>
        </w:rPr>
        <w:t>Tunjukkan simulasi unit economics Rp19.000 (0,23% investasi) dan visi KontrakKu sebagai infrastruktur legal kepercayaan bagi jutaan talenta digital Indonesia.</w:t>
      </w:r>
    </w:p>
    <w:p>
      <w:pPr>
        <w:keepNext/>
        <w:spacing w:before="360" w:after="120"/>
      </w:pPr>
      <w:r>
        <w:rPr>
          <w:rFonts w:ascii="Calibri" w:hAnsi="Calibri"/>
          <w:b/>
          <w:color w:val="0A1FD4"/>
          <w:sz w:val="28"/>
        </w:rPr>
        <w:t>7. Kesimpulan &amp; Roadmap Masa Depan</w:t>
      </w:r>
    </w:p>
    <w:p>
      <w:pPr>
        <w:spacing w:after="120" w:line="276" w:lineRule="auto"/>
      </w:pPr>
      <w:r>
        <w:rPr>
          <w:rFonts w:ascii="Calibri" w:hAnsi="Calibri"/>
          <w:color w:val="0F172A"/>
          <w:sz w:val="21"/>
        </w:rPr>
        <w:t>KontrakKu membuktikan bahwa solusi teknologi tepat guna tidak harus rumit atau menggunakan istilah teknis yang membingungkan. Dengan antarmuka minimalis bernuansa putih dan royal electric blue (#0a1fd4), KontrakKu siap didemokan sebagai produk siap pakai (production-ready MVP) yang menjawab kebutuhan nyata jutaan pekerja kreatif Indonesia.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