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Roboto" w:cs="Roboto" w:eastAsia="Roboto" w:hAnsi="Roboto"/>
          <w:color w:val="212529"/>
          <w:sz w:val="24"/>
          <w:szCs w:val="24"/>
          <w:shd w:fill="f8f9fa" w:val="clear"/>
          <w:rtl w:val="0"/>
        </w:rPr>
        <w:t xml:space="preserve">A detail list of the services the applicant intend to provide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spacing w:after="120" w:before="120" w:line="336" w:lineRule="auto"/>
        <w:rPr>
          <w:rFonts w:ascii="Montserrat" w:cs="Montserrat" w:eastAsia="Montserrat" w:hAnsi="Montserrat"/>
          <w:b w:val="1"/>
          <w:color w:val="000000"/>
        </w:rPr>
      </w:pPr>
      <w:bookmarkStart w:colFirst="0" w:colLast="0" w:name="_heading=h.7qla6viacg89" w:id="0"/>
      <w:bookmarkEnd w:id="0"/>
      <w:r w:rsidDel="00000000" w:rsidR="00000000" w:rsidRPr="00000000">
        <w:rPr>
          <w:rFonts w:ascii="Montserrat" w:cs="Montserrat" w:eastAsia="Montserrat" w:hAnsi="Montserrat"/>
          <w:b w:val="1"/>
          <w:color w:val="000000"/>
          <w:rtl w:val="0"/>
        </w:rPr>
        <w:t xml:space="preserve">Services Provided </w:t>
      </w:r>
    </w:p>
    <w:p w:rsidR="00000000" w:rsidDel="00000000" w:rsidP="00000000" w:rsidRDefault="00000000" w:rsidRPr="00000000" w14:paraId="00000004">
      <w:pPr>
        <w:numPr>
          <w:ilvl w:val="0"/>
          <w:numId w:val="1"/>
        </w:numPr>
        <w:spacing w:after="0" w:line="336" w:lineRule="auto"/>
        <w:ind w:left="400" w:hanging="360"/>
        <w:rPr>
          <w:rFonts w:ascii="Noto Sans Symbols" w:cs="Noto Sans Symbols" w:eastAsia="Noto Sans Symbols" w:hAnsi="Noto Sans Symbols"/>
          <w:sz w:val="24"/>
          <w:szCs w:val="24"/>
        </w:rPr>
      </w:pPr>
      <w:r w:rsidDel="00000000" w:rsidR="00000000" w:rsidRPr="00000000">
        <w:rPr>
          <w:rFonts w:ascii="Montserrat" w:cs="Montserrat" w:eastAsia="Montserrat" w:hAnsi="Montserrat"/>
          <w:b w:val="1"/>
          <w:sz w:val="24"/>
          <w:szCs w:val="24"/>
          <w:rtl w:val="0"/>
        </w:rPr>
        <w:t xml:space="preserve">Credit Reports &amp; Scores</w:t>
      </w:r>
      <w:r w:rsidDel="00000000" w:rsidR="00000000" w:rsidRPr="00000000">
        <w:rPr>
          <w:rFonts w:ascii="Montserrat" w:cs="Montserrat" w:eastAsia="Montserrat" w:hAnsi="Montserrat"/>
          <w:sz w:val="24"/>
          <w:szCs w:val="24"/>
          <w:rtl w:val="0"/>
        </w:rPr>
        <w:t xml:space="preserve">: Selling detailed consumer and business credit reports to lenders, enabling accurate assessment of borrower credibility.</w:t>
      </w:r>
    </w:p>
    <w:p w:rsidR="00000000" w:rsidDel="00000000" w:rsidP="00000000" w:rsidRDefault="00000000" w:rsidRPr="00000000" w14:paraId="00000005">
      <w:pPr>
        <w:numPr>
          <w:ilvl w:val="0"/>
          <w:numId w:val="1"/>
        </w:numPr>
        <w:spacing w:after="0" w:line="336" w:lineRule="auto"/>
        <w:ind w:left="400" w:hanging="360"/>
        <w:rPr>
          <w:rFonts w:ascii="Noto Sans Symbols" w:cs="Noto Sans Symbols" w:eastAsia="Noto Sans Symbols" w:hAnsi="Noto Sans Symbols"/>
          <w:sz w:val="24"/>
          <w:szCs w:val="24"/>
        </w:rPr>
      </w:pPr>
      <w:r w:rsidDel="00000000" w:rsidR="00000000" w:rsidRPr="00000000">
        <w:rPr>
          <w:rFonts w:ascii="Montserrat" w:cs="Montserrat" w:eastAsia="Montserrat" w:hAnsi="Montserrat"/>
          <w:b w:val="1"/>
          <w:sz w:val="24"/>
          <w:szCs w:val="24"/>
          <w:rtl w:val="0"/>
        </w:rPr>
        <w:t xml:space="preserve">Subscription Services</w:t>
      </w:r>
      <w:r w:rsidDel="00000000" w:rsidR="00000000" w:rsidRPr="00000000">
        <w:rPr>
          <w:rFonts w:ascii="Montserrat" w:cs="Montserrat" w:eastAsia="Montserrat" w:hAnsi="Montserrat"/>
          <w:sz w:val="24"/>
          <w:szCs w:val="24"/>
          <w:rtl w:val="0"/>
        </w:rPr>
        <w:t xml:space="preserve">: Offering monthly credit monitoring for individuals and businesses, allowing proactive management of credit health.</w:t>
      </w:r>
    </w:p>
    <w:p w:rsidR="00000000" w:rsidDel="00000000" w:rsidP="00000000" w:rsidRDefault="00000000" w:rsidRPr="00000000" w14:paraId="00000006">
      <w:pPr>
        <w:numPr>
          <w:ilvl w:val="0"/>
          <w:numId w:val="1"/>
        </w:numPr>
        <w:spacing w:after="0" w:line="336" w:lineRule="auto"/>
        <w:ind w:left="400" w:hanging="360"/>
        <w:rPr>
          <w:rFonts w:ascii="Noto Sans Symbols" w:cs="Noto Sans Symbols" w:eastAsia="Noto Sans Symbols" w:hAnsi="Noto Sans Symbols"/>
          <w:sz w:val="24"/>
          <w:szCs w:val="24"/>
        </w:rPr>
      </w:pPr>
      <w:r w:rsidDel="00000000" w:rsidR="00000000" w:rsidRPr="00000000">
        <w:rPr>
          <w:rFonts w:ascii="Montserrat" w:cs="Montserrat" w:eastAsia="Montserrat" w:hAnsi="Montserrat"/>
          <w:b w:val="1"/>
          <w:sz w:val="24"/>
          <w:szCs w:val="24"/>
          <w:rtl w:val="0"/>
        </w:rPr>
        <w:t xml:space="preserve">Fraud Prevention &amp; Risk Analysis</w:t>
      </w:r>
      <w:r w:rsidDel="00000000" w:rsidR="00000000" w:rsidRPr="00000000">
        <w:rPr>
          <w:rFonts w:ascii="Montserrat" w:cs="Montserrat" w:eastAsia="Montserrat" w:hAnsi="Montserrat"/>
          <w:sz w:val="24"/>
          <w:szCs w:val="24"/>
          <w:rtl w:val="0"/>
        </w:rPr>
        <w:t xml:space="preserve">: Providing banks and lenders with tools to detect fraud. </w:t>
      </w:r>
    </w:p>
    <w:p w:rsidR="00000000" w:rsidDel="00000000" w:rsidP="00000000" w:rsidRDefault="00000000" w:rsidRPr="00000000" w14:paraId="00000007">
      <w:pPr>
        <w:numPr>
          <w:ilvl w:val="0"/>
          <w:numId w:val="1"/>
        </w:numPr>
        <w:spacing w:after="0" w:line="336" w:lineRule="auto"/>
        <w:ind w:left="400" w:hanging="360"/>
        <w:rPr>
          <w:rFonts w:ascii="Noto Sans Symbols" w:cs="Noto Sans Symbols" w:eastAsia="Noto Sans Symbols" w:hAnsi="Noto Sans Symbols"/>
          <w:sz w:val="24"/>
          <w:szCs w:val="24"/>
        </w:rPr>
      </w:pPr>
      <w:r w:rsidDel="00000000" w:rsidR="00000000" w:rsidRPr="00000000">
        <w:rPr>
          <w:rFonts w:ascii="Montserrat" w:cs="Montserrat" w:eastAsia="Montserrat" w:hAnsi="Montserrat"/>
          <w:b w:val="1"/>
          <w:sz w:val="24"/>
          <w:szCs w:val="24"/>
          <w:rtl w:val="0"/>
        </w:rPr>
        <w:t xml:space="preserve">Data Analytics &amp; Insights</w:t>
      </w:r>
      <w:r w:rsidDel="00000000" w:rsidR="00000000" w:rsidRPr="00000000">
        <w:rPr>
          <w:rFonts w:ascii="Montserrat" w:cs="Montserrat" w:eastAsia="Montserrat" w:hAnsi="Montserrat"/>
          <w:sz w:val="24"/>
          <w:szCs w:val="24"/>
          <w:rtl w:val="0"/>
        </w:rPr>
        <w:t xml:space="preserve">: Supplying reports on consumer credit behaviour for market research. </w:t>
      </w:r>
    </w:p>
    <w:p w:rsidR="00000000" w:rsidDel="00000000" w:rsidP="00000000" w:rsidRDefault="00000000" w:rsidRPr="00000000" w14:paraId="00000008">
      <w:pPr>
        <w:numPr>
          <w:ilvl w:val="0"/>
          <w:numId w:val="1"/>
        </w:numPr>
        <w:spacing w:after="0" w:line="336" w:lineRule="auto"/>
        <w:ind w:left="400" w:hanging="360"/>
        <w:rPr>
          <w:rFonts w:ascii="Noto Sans Symbols" w:cs="Noto Sans Symbols" w:eastAsia="Noto Sans Symbols" w:hAnsi="Noto Sans Symbols"/>
          <w:sz w:val="24"/>
          <w:szCs w:val="24"/>
        </w:rPr>
      </w:pPr>
      <w:r w:rsidDel="00000000" w:rsidR="00000000" w:rsidRPr="00000000">
        <w:rPr>
          <w:rFonts w:ascii="Montserrat" w:cs="Montserrat" w:eastAsia="Montserrat" w:hAnsi="Montserrat"/>
          <w:b w:val="1"/>
          <w:sz w:val="24"/>
          <w:szCs w:val="24"/>
          <w:rtl w:val="0"/>
        </w:rPr>
        <w:t xml:space="preserve">Financial Education</w:t>
      </w:r>
      <w:r w:rsidDel="00000000" w:rsidR="00000000" w:rsidRPr="00000000">
        <w:rPr>
          <w:rFonts w:ascii="Montserrat" w:cs="Montserrat" w:eastAsia="Montserrat" w:hAnsi="Montserrat"/>
          <w:sz w:val="24"/>
          <w:szCs w:val="24"/>
          <w:rtl w:val="0"/>
        </w:rPr>
        <w:t xml:space="preserve">: Organizing workshops, courses, and reports on credit literacy. </w:t>
      </w:r>
    </w:p>
    <w:p w:rsidR="00000000" w:rsidDel="00000000" w:rsidP="00000000" w:rsidRDefault="00000000" w:rsidRPr="00000000" w14:paraId="00000009">
      <w:pPr>
        <w:numPr>
          <w:ilvl w:val="0"/>
          <w:numId w:val="1"/>
        </w:numPr>
        <w:spacing w:after="0" w:line="336" w:lineRule="auto"/>
        <w:ind w:left="40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Security and Compliance</w:t>
      </w:r>
      <w:r w:rsidDel="00000000" w:rsidR="00000000" w:rsidRPr="00000000">
        <w:rPr>
          <w:rFonts w:ascii="Montserrat" w:cs="Montserrat" w:eastAsia="Montserrat" w:hAnsi="Montserrat"/>
          <w:sz w:val="24"/>
          <w:szCs w:val="24"/>
          <w:rtl w:val="0"/>
        </w:rPr>
        <w:t xml:space="preserve">: The security of customers' financial transactions is critical to the Koti. The Firm employs robust encryption and data protection measures to safeguard customers' personal and financial information. Please refer to the Firm’s ICT Security and Data Protection Policy for further details. </w:t>
      </w:r>
    </w:p>
    <w:p w:rsidR="00000000" w:rsidDel="00000000" w:rsidP="00000000" w:rsidRDefault="00000000" w:rsidRPr="00000000" w14:paraId="0000000A">
      <w:pPr>
        <w:numPr>
          <w:ilvl w:val="0"/>
          <w:numId w:val="1"/>
        </w:numPr>
        <w:spacing w:after="0" w:line="336" w:lineRule="auto"/>
        <w:ind w:left="40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Dedicated Customer Support:</w:t>
      </w:r>
      <w:r w:rsidDel="00000000" w:rsidR="00000000" w:rsidRPr="00000000">
        <w:rPr>
          <w:rFonts w:ascii="Montserrat" w:cs="Montserrat" w:eastAsia="Montserrat" w:hAnsi="Montserrat"/>
          <w:sz w:val="24"/>
          <w:szCs w:val="24"/>
          <w:rtl w:val="0"/>
        </w:rPr>
        <w:t xml:space="preserve"> With service paramount the Firm has a team of experienced professionals dedicated to providing personalised assistance and guidance throughout the money remittance process.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spacing w:after="120" w:before="120" w:line="336" w:lineRule="auto"/>
        <w:rPr>
          <w:rFonts w:ascii="Montserrat" w:cs="Montserrat" w:eastAsia="Montserrat" w:hAnsi="Montserrat"/>
          <w:b w:val="1"/>
          <w:color w:val="000000"/>
        </w:rPr>
      </w:pPr>
      <w:bookmarkStart w:colFirst="0" w:colLast="0" w:name="_heading=h.drzts8ayidc9" w:id="1"/>
      <w:bookmarkEnd w:id="1"/>
      <w:r w:rsidDel="00000000" w:rsidR="00000000" w:rsidRPr="00000000">
        <w:rPr>
          <w:rFonts w:ascii="Montserrat" w:cs="Montserrat" w:eastAsia="Montserrat" w:hAnsi="Montserrat"/>
          <w:b w:val="1"/>
          <w:color w:val="000000"/>
          <w:rtl w:val="0"/>
        </w:rPr>
        <w:t xml:space="preserve">Revenue Streams </w:t>
      </w:r>
    </w:p>
    <w:p w:rsidR="00000000" w:rsidDel="00000000" w:rsidP="00000000" w:rsidRDefault="00000000" w:rsidRPr="00000000" w14:paraId="0000000D">
      <w:pPr>
        <w:numPr>
          <w:ilvl w:val="0"/>
          <w:numId w:val="2"/>
        </w:numPr>
        <w:spacing w:after="0" w:line="336" w:lineRule="auto"/>
        <w:ind w:left="400" w:hanging="360"/>
        <w:rPr>
          <w:rFonts w:ascii="Noto Sans Symbols" w:cs="Noto Sans Symbols" w:eastAsia="Noto Sans Symbols" w:hAnsi="Noto Sans Symbols"/>
          <w:sz w:val="24"/>
          <w:szCs w:val="24"/>
        </w:rPr>
      </w:pPr>
      <w:r w:rsidDel="00000000" w:rsidR="00000000" w:rsidRPr="00000000">
        <w:rPr>
          <w:rFonts w:ascii="Montserrat" w:cs="Montserrat" w:eastAsia="Montserrat" w:hAnsi="Montserrat"/>
          <w:b w:val="1"/>
          <w:sz w:val="24"/>
          <w:szCs w:val="24"/>
          <w:rtl w:val="0"/>
        </w:rPr>
        <w:t xml:space="preserve">B2B Services:</w:t>
      </w:r>
      <w:r w:rsidDel="00000000" w:rsidR="00000000" w:rsidRPr="00000000">
        <w:rPr>
          <w:rFonts w:ascii="Montserrat" w:cs="Montserrat" w:eastAsia="Montserrat" w:hAnsi="Montserrat"/>
          <w:sz w:val="24"/>
          <w:szCs w:val="24"/>
          <w:rtl w:val="0"/>
        </w:rPr>
        <w:t xml:space="preserve"> Generating revenue by selling credit insights and analytics to banks, lenders, and other financial institutions.​</w:t>
        <w:br w:type="textWrapping"/>
      </w:r>
    </w:p>
    <w:p w:rsidR="00000000" w:rsidDel="00000000" w:rsidP="00000000" w:rsidRDefault="00000000" w:rsidRPr="00000000" w14:paraId="0000000E">
      <w:pPr>
        <w:numPr>
          <w:ilvl w:val="0"/>
          <w:numId w:val="2"/>
        </w:numPr>
        <w:spacing w:after="0" w:line="336" w:lineRule="auto"/>
        <w:ind w:left="400" w:hanging="360"/>
        <w:rPr>
          <w:rFonts w:ascii="Noto Sans Symbols" w:cs="Noto Sans Symbols" w:eastAsia="Noto Sans Symbols" w:hAnsi="Noto Sans Symbols"/>
          <w:sz w:val="24"/>
          <w:szCs w:val="24"/>
        </w:rPr>
      </w:pPr>
      <w:r w:rsidDel="00000000" w:rsidR="00000000" w:rsidRPr="00000000">
        <w:rPr>
          <w:rFonts w:ascii="Montserrat" w:cs="Montserrat" w:eastAsia="Montserrat" w:hAnsi="Montserrat"/>
          <w:b w:val="1"/>
          <w:sz w:val="24"/>
          <w:szCs w:val="24"/>
          <w:rtl w:val="0"/>
        </w:rPr>
        <w:t xml:space="preserve">B2C Subscriptions:</w:t>
      </w:r>
      <w:r w:rsidDel="00000000" w:rsidR="00000000" w:rsidRPr="00000000">
        <w:rPr>
          <w:rFonts w:ascii="Montserrat" w:cs="Montserrat" w:eastAsia="Montserrat" w:hAnsi="Montserrat"/>
          <w:sz w:val="24"/>
          <w:szCs w:val="24"/>
          <w:rtl w:val="0"/>
        </w:rPr>
        <w:t xml:space="preserve"> Offering monthly or annual subscription plans for consumers seeking credit monitoring and financial management tools.​</w:t>
        <w:br w:type="textWrapping"/>
      </w:r>
    </w:p>
    <w:p w:rsidR="00000000" w:rsidDel="00000000" w:rsidP="00000000" w:rsidRDefault="00000000" w:rsidRPr="00000000" w14:paraId="0000000F">
      <w:pPr>
        <w:numPr>
          <w:ilvl w:val="0"/>
          <w:numId w:val="2"/>
        </w:numPr>
        <w:spacing w:after="0" w:line="336" w:lineRule="auto"/>
        <w:ind w:left="400" w:hanging="360"/>
        <w:rPr>
          <w:rFonts w:ascii="Noto Sans Symbols" w:cs="Noto Sans Symbols" w:eastAsia="Noto Sans Symbols" w:hAnsi="Noto Sans Symbols"/>
          <w:sz w:val="24"/>
          <w:szCs w:val="24"/>
        </w:rPr>
      </w:pPr>
      <w:r w:rsidDel="00000000" w:rsidR="00000000" w:rsidRPr="00000000">
        <w:rPr>
          <w:rFonts w:ascii="Montserrat" w:cs="Montserrat" w:eastAsia="Montserrat" w:hAnsi="Montserrat"/>
          <w:b w:val="1"/>
          <w:sz w:val="24"/>
          <w:szCs w:val="24"/>
          <w:rtl w:val="0"/>
        </w:rPr>
        <w:t xml:space="preserve">Referral Fees:</w:t>
      </w:r>
      <w:r w:rsidDel="00000000" w:rsidR="00000000" w:rsidRPr="00000000">
        <w:rPr>
          <w:rFonts w:ascii="Montserrat" w:cs="Montserrat" w:eastAsia="Montserrat" w:hAnsi="Montserrat"/>
          <w:sz w:val="24"/>
          <w:szCs w:val="24"/>
          <w:rtl w:val="0"/>
        </w:rPr>
        <w:t xml:space="preserve"> Earning commissions on successful transactions involving loans, credit cards, overdrafts, or insurance products facilitated through Koti's platform.​</w:t>
        <w:br w:type="textWrapping"/>
      </w:r>
    </w:p>
    <w:p w:rsidR="00000000" w:rsidDel="00000000" w:rsidP="00000000" w:rsidRDefault="00000000" w:rsidRPr="00000000" w14:paraId="00000010">
      <w:pPr>
        <w:numPr>
          <w:ilvl w:val="0"/>
          <w:numId w:val="2"/>
        </w:numPr>
        <w:spacing w:after="0" w:line="336" w:lineRule="auto"/>
        <w:ind w:left="400" w:hanging="360"/>
        <w:rPr>
          <w:rFonts w:ascii="Noto Sans Symbols" w:cs="Noto Sans Symbols" w:eastAsia="Noto Sans Symbols" w:hAnsi="Noto Sans Symbols"/>
          <w:sz w:val="24"/>
          <w:szCs w:val="24"/>
        </w:rPr>
      </w:pPr>
      <w:r w:rsidDel="00000000" w:rsidR="00000000" w:rsidRPr="00000000">
        <w:rPr>
          <w:rFonts w:ascii="Montserrat" w:cs="Montserrat" w:eastAsia="Montserrat" w:hAnsi="Montserrat"/>
          <w:b w:val="1"/>
          <w:sz w:val="24"/>
          <w:szCs w:val="24"/>
          <w:rtl w:val="0"/>
        </w:rPr>
        <w:t xml:space="preserve">Premium Credit Monitoring:</w:t>
      </w:r>
      <w:r w:rsidDel="00000000" w:rsidR="00000000" w:rsidRPr="00000000">
        <w:rPr>
          <w:rFonts w:ascii="Montserrat" w:cs="Montserrat" w:eastAsia="Montserrat" w:hAnsi="Montserrat"/>
          <w:sz w:val="24"/>
          <w:szCs w:val="24"/>
          <w:rtl w:val="0"/>
        </w:rPr>
        <w:t xml:space="preserve"> Providing premium services such as real-time alerts for score changes and identity theft protection, available at an additional cost.​</w:t>
        <w:br w:type="textWrapping"/>
      </w:r>
    </w:p>
    <w:p w:rsidR="00000000" w:rsidDel="00000000" w:rsidP="00000000" w:rsidRDefault="00000000" w:rsidRPr="00000000" w14:paraId="00000011">
      <w:pPr>
        <w:numPr>
          <w:ilvl w:val="0"/>
          <w:numId w:val="2"/>
        </w:numPr>
        <w:spacing w:after="0" w:line="336" w:lineRule="auto"/>
        <w:ind w:left="400" w:hanging="360"/>
        <w:rPr>
          <w:rFonts w:ascii="Noto Sans Symbols" w:cs="Noto Sans Symbols" w:eastAsia="Noto Sans Symbols" w:hAnsi="Noto Sans Symbols"/>
          <w:sz w:val="24"/>
          <w:szCs w:val="24"/>
        </w:rPr>
      </w:pPr>
      <w:r w:rsidDel="00000000" w:rsidR="00000000" w:rsidRPr="00000000">
        <w:rPr>
          <w:rFonts w:ascii="Montserrat" w:cs="Montserrat" w:eastAsia="Montserrat" w:hAnsi="Montserrat"/>
          <w:b w:val="1"/>
          <w:sz w:val="24"/>
          <w:szCs w:val="24"/>
          <w:rtl w:val="0"/>
        </w:rPr>
        <w:t xml:space="preserve">Custom Analytics:</w:t>
      </w:r>
      <w:r w:rsidDel="00000000" w:rsidR="00000000" w:rsidRPr="00000000">
        <w:rPr>
          <w:rFonts w:ascii="Montserrat" w:cs="Montserrat" w:eastAsia="Montserrat" w:hAnsi="Montserrat"/>
          <w:sz w:val="24"/>
          <w:szCs w:val="24"/>
          <w:rtl w:val="0"/>
        </w:rPr>
        <w:t xml:space="preserve"> Offering industry-specific reports and data analytics services to businesses seeking tailored insights.​</w:t>
        <w:br w:type="textWrapping"/>
      </w:r>
    </w:p>
    <w:p w:rsidR="00000000" w:rsidDel="00000000" w:rsidP="00000000" w:rsidRDefault="00000000" w:rsidRPr="00000000" w14:paraId="00000012">
      <w:pPr>
        <w:numPr>
          <w:ilvl w:val="0"/>
          <w:numId w:val="2"/>
        </w:numPr>
        <w:spacing w:after="0" w:line="336" w:lineRule="auto"/>
        <w:ind w:left="400" w:hanging="360"/>
        <w:rPr>
          <w:rFonts w:ascii="Noto Sans Symbols" w:cs="Noto Sans Symbols" w:eastAsia="Noto Sans Symbols" w:hAnsi="Noto Sans Symbols"/>
          <w:sz w:val="24"/>
          <w:szCs w:val="24"/>
        </w:rPr>
      </w:pPr>
      <w:r w:rsidDel="00000000" w:rsidR="00000000" w:rsidRPr="00000000">
        <w:rPr>
          <w:rFonts w:ascii="Montserrat" w:cs="Montserrat" w:eastAsia="Montserrat" w:hAnsi="Montserrat"/>
          <w:b w:val="1"/>
          <w:sz w:val="24"/>
          <w:szCs w:val="24"/>
          <w:rtl w:val="0"/>
        </w:rPr>
        <w:t xml:space="preserve">Buy Now, Pay Later (BNPL) Services:</w:t>
      </w:r>
      <w:r w:rsidDel="00000000" w:rsidR="00000000" w:rsidRPr="00000000">
        <w:rPr>
          <w:rFonts w:ascii="Montserrat" w:cs="Montserrat" w:eastAsia="Montserrat" w:hAnsi="Montserrat"/>
          <w:sz w:val="24"/>
          <w:szCs w:val="24"/>
          <w:rtl w:val="0"/>
        </w:rPr>
        <w:t xml:space="preserve"> Implementing BNPL options, allowing customers to purchase goods or services and pay in installments over time, enhancing purchasing power and flexibility. ​</w:t>
        <w:br w:type="textWrapping"/>
      </w:r>
      <w:r w:rsidDel="00000000" w:rsidR="00000000" w:rsidRPr="00000000">
        <w:rPr>
          <w:rtl w:val="0"/>
        </w:rPr>
      </w:r>
    </w:p>
    <w:p w:rsidR="00000000" w:rsidDel="00000000" w:rsidP="00000000" w:rsidRDefault="00000000" w:rsidRPr="00000000" w14:paraId="00000013">
      <w:pPr>
        <w:numPr>
          <w:ilvl w:val="0"/>
          <w:numId w:val="2"/>
        </w:numPr>
        <w:spacing w:after="0" w:line="336" w:lineRule="auto"/>
        <w:ind w:left="400" w:hanging="360"/>
        <w:rPr>
          <w:rFonts w:ascii="Noto Sans Symbols" w:cs="Noto Sans Symbols" w:eastAsia="Noto Sans Symbols" w:hAnsi="Noto Sans Symbols"/>
          <w:sz w:val="24"/>
          <w:szCs w:val="24"/>
        </w:rPr>
      </w:pPr>
      <w:r w:rsidDel="00000000" w:rsidR="00000000" w:rsidRPr="00000000">
        <w:rPr>
          <w:rFonts w:ascii="Montserrat" w:cs="Montserrat" w:eastAsia="Montserrat" w:hAnsi="Montserrat"/>
          <w:b w:val="1"/>
          <w:sz w:val="24"/>
          <w:szCs w:val="24"/>
          <w:rtl w:val="0"/>
        </w:rPr>
        <w:t xml:space="preserve">API Monetization:</w:t>
      </w:r>
      <w:r w:rsidDel="00000000" w:rsidR="00000000" w:rsidRPr="00000000">
        <w:rPr>
          <w:rFonts w:ascii="Montserrat" w:cs="Montserrat" w:eastAsia="Montserrat" w:hAnsi="Montserrat"/>
          <w:sz w:val="24"/>
          <w:szCs w:val="24"/>
          <w:rtl w:val="0"/>
        </w:rPr>
        <w:t xml:space="preserve"> Leveraging open banking APIs to offer premium access to third-party fintech companies, enabling them to build value-added services on Koti's infrastructure.</w:t>
        <w:br w:type="textWrapping"/>
      </w:r>
      <w:r w:rsidDel="00000000" w:rsidR="00000000" w:rsidRPr="00000000">
        <w:rPr>
          <w:rtl w:val="0"/>
        </w:rPr>
      </w:r>
    </w:p>
    <w:p w:rsidR="00000000" w:rsidDel="00000000" w:rsidP="00000000" w:rsidRDefault="00000000" w:rsidRPr="00000000" w14:paraId="00000014">
      <w:pPr>
        <w:numPr>
          <w:ilvl w:val="0"/>
          <w:numId w:val="2"/>
        </w:numPr>
        <w:spacing w:after="0" w:line="336" w:lineRule="auto"/>
        <w:ind w:left="400" w:hanging="360"/>
        <w:rPr>
          <w:rFonts w:ascii="Noto Sans Symbols" w:cs="Noto Sans Symbols" w:eastAsia="Noto Sans Symbols" w:hAnsi="Noto Sans Symbols"/>
          <w:sz w:val="24"/>
          <w:szCs w:val="24"/>
        </w:rPr>
      </w:pPr>
      <w:r w:rsidDel="00000000" w:rsidR="00000000" w:rsidRPr="00000000">
        <w:rPr>
          <w:rFonts w:ascii="Montserrat" w:cs="Montserrat" w:eastAsia="Montserrat" w:hAnsi="Montserrat"/>
          <w:b w:val="1"/>
          <w:sz w:val="24"/>
          <w:szCs w:val="24"/>
          <w:rtl w:val="0"/>
        </w:rPr>
        <w:t xml:space="preserve">Partnerships with B2B E-commerce Platforms:</w:t>
      </w:r>
      <w:r w:rsidDel="00000000" w:rsidR="00000000" w:rsidRPr="00000000">
        <w:rPr>
          <w:rFonts w:ascii="Montserrat" w:cs="Montserrat" w:eastAsia="Montserrat" w:hAnsi="Montserrat"/>
          <w:sz w:val="24"/>
          <w:szCs w:val="24"/>
          <w:rtl w:val="0"/>
        </w:rPr>
        <w:t xml:space="preserve"> Collaborating with B2B e-commerce platforms to provide integrated financial services, facilitating seamless transactions and credit assessments.​</w:t>
        <w:br w:type="textWrapping"/>
      </w:r>
    </w:p>
    <w:p w:rsidR="00000000" w:rsidDel="00000000" w:rsidP="00000000" w:rsidRDefault="00000000" w:rsidRPr="00000000" w14:paraId="00000015">
      <w:pPr>
        <w:numPr>
          <w:ilvl w:val="0"/>
          <w:numId w:val="2"/>
        </w:numPr>
        <w:spacing w:after="0" w:line="336" w:lineRule="auto"/>
        <w:ind w:left="400" w:hanging="360"/>
        <w:rPr>
          <w:rFonts w:ascii="Noto Sans Symbols" w:cs="Noto Sans Symbols" w:eastAsia="Noto Sans Symbols" w:hAnsi="Noto Sans Symbols"/>
          <w:sz w:val="24"/>
          <w:szCs w:val="24"/>
        </w:rPr>
      </w:pPr>
      <w:r w:rsidDel="00000000" w:rsidR="00000000" w:rsidRPr="00000000">
        <w:rPr>
          <w:rFonts w:ascii="Montserrat" w:cs="Montserrat" w:eastAsia="Montserrat" w:hAnsi="Montserrat"/>
          <w:b w:val="1"/>
          <w:sz w:val="24"/>
          <w:szCs w:val="24"/>
          <w:rtl w:val="0"/>
        </w:rPr>
        <w:t xml:space="preserve">Digital Credit Assessment Tools for Microfinance Institutions (MFIs):</w:t>
      </w:r>
      <w:r w:rsidDel="00000000" w:rsidR="00000000" w:rsidRPr="00000000">
        <w:rPr>
          <w:rFonts w:ascii="Montserrat" w:cs="Montserrat" w:eastAsia="Montserrat" w:hAnsi="Montserrat"/>
          <w:sz w:val="24"/>
          <w:szCs w:val="24"/>
          <w:rtl w:val="0"/>
        </w:rPr>
        <w:t xml:space="preserve"> Developing digital tools to assist MFIs in digitizing their credit assessment processes, improving efficiency and accuracy.​</w:t>
        <w:br w:type="textWrapping"/>
      </w:r>
    </w:p>
    <w:p w:rsidR="00000000" w:rsidDel="00000000" w:rsidP="00000000" w:rsidRDefault="00000000" w:rsidRPr="00000000" w14:paraId="00000016">
      <w:pPr>
        <w:numPr>
          <w:ilvl w:val="0"/>
          <w:numId w:val="2"/>
        </w:numPr>
        <w:spacing w:after="0" w:line="336" w:lineRule="auto"/>
        <w:ind w:left="400" w:hanging="360"/>
        <w:rPr>
          <w:rFonts w:ascii="Noto Sans Symbols" w:cs="Noto Sans Symbols" w:eastAsia="Noto Sans Symbols" w:hAnsi="Noto Sans Symbols"/>
          <w:sz w:val="24"/>
          <w:szCs w:val="24"/>
        </w:rPr>
      </w:pPr>
      <w:r w:rsidDel="00000000" w:rsidR="00000000" w:rsidRPr="00000000">
        <w:rPr>
          <w:rFonts w:ascii="Montserrat" w:cs="Montserrat" w:eastAsia="Montserrat" w:hAnsi="Montserrat"/>
          <w:b w:val="1"/>
          <w:sz w:val="24"/>
          <w:szCs w:val="24"/>
          <w:rtl w:val="0"/>
        </w:rPr>
        <w:t xml:space="preserve">Credit Assessment Solutions for Fast-Moving Consumer Goods (FMCG) Companies:</w:t>
      </w:r>
      <w:r w:rsidDel="00000000" w:rsidR="00000000" w:rsidRPr="00000000">
        <w:rPr>
          <w:rFonts w:ascii="Montserrat" w:cs="Montserrat" w:eastAsia="Montserrat" w:hAnsi="Montserrat"/>
          <w:sz w:val="24"/>
          <w:szCs w:val="24"/>
          <w:rtl w:val="0"/>
        </w:rPr>
        <w:t xml:space="preserve"> Providing FMCG companies with digital solutions to assess the creditworthiness of micro retailers, enhancing supply chain reliability.</w:t>
      </w:r>
    </w:p>
    <w:p w:rsidR="00000000" w:rsidDel="00000000" w:rsidP="00000000" w:rsidRDefault="00000000" w:rsidRPr="00000000" w14:paraId="00000017">
      <w:pPr>
        <w:spacing w:after="0" w:line="33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8">
      <w:pPr>
        <w:spacing w:after="0" w:line="33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 integrating these diverse services and revenue streams, Koti aims to establish a comprehensive financial ecosystem that leverages open banking principles to enhance financial inclusion and deliver value to both consumers and businesses in Bangladesh.</w:t>
      </w:r>
    </w:p>
    <w:p w:rsidR="00000000" w:rsidDel="00000000" w:rsidP="00000000" w:rsidRDefault="00000000" w:rsidRPr="00000000" w14:paraId="0000001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Montserra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oto Sans Symbols">
    <w:embedRegular w:fontKey="{00000000-0000-0000-0000-000000000000}" r:id="rId11" w:subsetted="0"/>
    <w:embedBold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00" w:hanging="360"/>
      </w:pPr>
      <w:rPr>
        <w:u w:val="none"/>
      </w:rPr>
    </w:lvl>
    <w:lvl w:ilvl="1">
      <w:start w:val="1"/>
      <w:numFmt w:val="bullet"/>
      <w:lvlText w:val="o"/>
      <w:lvlJc w:val="left"/>
      <w:pPr>
        <w:ind w:left="800" w:hanging="360"/>
      </w:pPr>
      <w:rPr>
        <w:u w:val="none"/>
      </w:rPr>
    </w:lvl>
    <w:lvl w:ilvl="2">
      <w:start w:val="1"/>
      <w:numFmt w:val="bullet"/>
      <w:lvlText w:val="▪"/>
      <w:lvlJc w:val="left"/>
      <w:pPr>
        <w:ind w:left="1200" w:hanging="360"/>
      </w:pPr>
      <w:rPr>
        <w:u w:val="none"/>
      </w:rPr>
    </w:lvl>
    <w:lvl w:ilvl="3">
      <w:start w:val="1"/>
      <w:numFmt w:val="bullet"/>
      <w:lvlText w:val="●"/>
      <w:lvlJc w:val="left"/>
      <w:pPr>
        <w:ind w:left="1600" w:hanging="360"/>
      </w:pPr>
      <w:rPr>
        <w:u w:val="none"/>
      </w:rPr>
    </w:lvl>
    <w:lvl w:ilvl="4">
      <w:start w:val="1"/>
      <w:numFmt w:val="bullet"/>
      <w:lvlText w:val="o"/>
      <w:lvlJc w:val="left"/>
      <w:pPr>
        <w:ind w:left="2000" w:hanging="360"/>
      </w:pPr>
      <w:rPr>
        <w:u w:val="none"/>
      </w:rPr>
    </w:lvl>
    <w:lvl w:ilvl="5">
      <w:start w:val="1"/>
      <w:numFmt w:val="bullet"/>
      <w:lvlText w:val="▪"/>
      <w:lvlJc w:val="left"/>
      <w:pPr>
        <w:ind w:left="2400" w:hanging="360"/>
      </w:pPr>
      <w:rPr>
        <w:u w:val="none"/>
      </w:rPr>
    </w:lvl>
    <w:lvl w:ilvl="6">
      <w:start w:val="1"/>
      <w:numFmt w:val="bullet"/>
      <w:lvlText w:val="●"/>
      <w:lvlJc w:val="left"/>
      <w:pPr>
        <w:ind w:left="2800" w:hanging="360"/>
      </w:pPr>
      <w:rPr>
        <w:u w:val="none"/>
      </w:rPr>
    </w:lvl>
    <w:lvl w:ilvl="7">
      <w:start w:val="1"/>
      <w:numFmt w:val="bullet"/>
      <w:lvlText w:val="o"/>
      <w:lvlJc w:val="left"/>
      <w:pPr>
        <w:ind w:left="3200" w:hanging="360"/>
      </w:pPr>
      <w:rPr>
        <w:u w:val="none"/>
      </w:rPr>
    </w:lvl>
    <w:lvl w:ilvl="8">
      <w:start w:val="0"/>
      <w:numFmt w:val="decimal"/>
      <w:lvlText w:val=""/>
      <w:lvlJc w:val="left"/>
      <w:pPr>
        <w:ind w:left="0" w:firstLine="0"/>
      </w:pPr>
      <w:rPr>
        <w:u w:val="none"/>
      </w:rPr>
    </w:lvl>
  </w:abstractNum>
  <w:abstractNum w:abstractNumId="2">
    <w:lvl w:ilvl="0">
      <w:start w:val="1"/>
      <w:numFmt w:val="bullet"/>
      <w:lvlText w:val="●"/>
      <w:lvlJc w:val="left"/>
      <w:pPr>
        <w:ind w:left="400" w:hanging="360"/>
      </w:pPr>
      <w:rPr>
        <w:u w:val="none"/>
      </w:rPr>
    </w:lvl>
    <w:lvl w:ilvl="1">
      <w:start w:val="1"/>
      <w:numFmt w:val="bullet"/>
      <w:lvlText w:val="o"/>
      <w:lvlJc w:val="left"/>
      <w:pPr>
        <w:ind w:left="800" w:hanging="360"/>
      </w:pPr>
      <w:rPr>
        <w:u w:val="none"/>
      </w:rPr>
    </w:lvl>
    <w:lvl w:ilvl="2">
      <w:start w:val="1"/>
      <w:numFmt w:val="bullet"/>
      <w:lvlText w:val="▪"/>
      <w:lvlJc w:val="left"/>
      <w:pPr>
        <w:ind w:left="1200" w:hanging="360"/>
      </w:pPr>
      <w:rPr>
        <w:u w:val="none"/>
      </w:rPr>
    </w:lvl>
    <w:lvl w:ilvl="3">
      <w:start w:val="1"/>
      <w:numFmt w:val="bullet"/>
      <w:lvlText w:val="●"/>
      <w:lvlJc w:val="left"/>
      <w:pPr>
        <w:ind w:left="1600" w:hanging="360"/>
      </w:pPr>
      <w:rPr>
        <w:u w:val="none"/>
      </w:rPr>
    </w:lvl>
    <w:lvl w:ilvl="4">
      <w:start w:val="1"/>
      <w:numFmt w:val="bullet"/>
      <w:lvlText w:val="o"/>
      <w:lvlJc w:val="left"/>
      <w:pPr>
        <w:ind w:left="2000" w:hanging="360"/>
      </w:pPr>
      <w:rPr>
        <w:u w:val="none"/>
      </w:rPr>
    </w:lvl>
    <w:lvl w:ilvl="5">
      <w:start w:val="1"/>
      <w:numFmt w:val="bullet"/>
      <w:lvlText w:val="▪"/>
      <w:lvlJc w:val="left"/>
      <w:pPr>
        <w:ind w:left="2400" w:hanging="360"/>
      </w:pPr>
      <w:rPr>
        <w:u w:val="none"/>
      </w:rPr>
    </w:lvl>
    <w:lvl w:ilvl="6">
      <w:start w:val="1"/>
      <w:numFmt w:val="bullet"/>
      <w:lvlText w:val="●"/>
      <w:lvlJc w:val="left"/>
      <w:pPr>
        <w:ind w:left="2800" w:hanging="360"/>
      </w:pPr>
      <w:rPr>
        <w:u w:val="none"/>
      </w:rPr>
    </w:lvl>
    <w:lvl w:ilvl="7">
      <w:start w:val="1"/>
      <w:numFmt w:val="bullet"/>
      <w:lvlText w:val="o"/>
      <w:lvlJc w:val="left"/>
      <w:pPr>
        <w:ind w:left="3200" w:hanging="360"/>
      </w:pPr>
      <w:rPr>
        <w:u w:val="none"/>
      </w:rPr>
    </w:lvl>
    <w:lvl w:ilvl="8">
      <w:start w:val="0"/>
      <w:numFmt w:val="decimal"/>
      <w:lvlText w:val=""/>
      <w:lvlJc w:val="left"/>
      <w:pPr>
        <w:ind w:left="0" w:firstLine="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F808A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F808A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F808A8"/>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F808A8"/>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F808A8"/>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F808A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F808A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808A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808A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808A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808A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808A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808A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808A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808A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808A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808A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808A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F808A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808A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F808A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F808A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808A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808A8"/>
    <w:rPr>
      <w:i w:val="1"/>
      <w:iCs w:val="1"/>
      <w:color w:val="404040" w:themeColor="text1" w:themeTint="0000BF"/>
    </w:rPr>
  </w:style>
  <w:style w:type="paragraph" w:styleId="ListParagraph">
    <w:name w:val="List Paragraph"/>
    <w:basedOn w:val="Normal"/>
    <w:uiPriority w:val="34"/>
    <w:qFormat w:val="1"/>
    <w:rsid w:val="00F808A8"/>
    <w:pPr>
      <w:ind w:left="720"/>
      <w:contextualSpacing w:val="1"/>
    </w:pPr>
  </w:style>
  <w:style w:type="character" w:styleId="IntenseEmphasis">
    <w:name w:val="Intense Emphasis"/>
    <w:basedOn w:val="DefaultParagraphFont"/>
    <w:uiPriority w:val="21"/>
    <w:qFormat w:val="1"/>
    <w:rsid w:val="00F808A8"/>
    <w:rPr>
      <w:i w:val="1"/>
      <w:iCs w:val="1"/>
      <w:color w:val="0f4761" w:themeColor="accent1" w:themeShade="0000BF"/>
    </w:rPr>
  </w:style>
  <w:style w:type="paragraph" w:styleId="IntenseQuote">
    <w:name w:val="Intense Quote"/>
    <w:basedOn w:val="Normal"/>
    <w:next w:val="Normal"/>
    <w:link w:val="IntenseQuoteChar"/>
    <w:uiPriority w:val="30"/>
    <w:qFormat w:val="1"/>
    <w:rsid w:val="00F808A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808A8"/>
    <w:rPr>
      <w:i w:val="1"/>
      <w:iCs w:val="1"/>
      <w:color w:val="0f4761" w:themeColor="accent1" w:themeShade="0000BF"/>
    </w:rPr>
  </w:style>
  <w:style w:type="character" w:styleId="IntenseReference">
    <w:name w:val="Intense Reference"/>
    <w:basedOn w:val="DefaultParagraphFont"/>
    <w:uiPriority w:val="32"/>
    <w:qFormat w:val="1"/>
    <w:rsid w:val="00F808A8"/>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11" Type="http://schemas.openxmlformats.org/officeDocument/2006/relationships/font" Target="fonts/NotoSansSymbols-regular.ttf"/><Relationship Id="rId10" Type="http://schemas.openxmlformats.org/officeDocument/2006/relationships/font" Target="fonts/Montserrat-boldItalic.ttf"/><Relationship Id="rId12" Type="http://schemas.openxmlformats.org/officeDocument/2006/relationships/font" Target="fonts/NotoSansSymbols-bold.ttf"/><Relationship Id="rId9" Type="http://schemas.openxmlformats.org/officeDocument/2006/relationships/font" Target="fonts/Montserrat-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Montserrat-regular.ttf"/><Relationship Id="rId8" Type="http://schemas.openxmlformats.org/officeDocument/2006/relationships/font" Target="fonts/Montserr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YSTPChQxcX1bQV5ekFHFPCryg==">CgMxLjAyDmguN3FsYTZ2aWFjZzg5Mg5oLmRyenRzOGF5aWRjOTgAciExUC04N1kzOFlfaVNGUnpucm5qa1Rad3R2VXB3Z2hma3g=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2025-04-15T09:23:00Z</dcterms:created>
  <dc:creator>Matiullah Sahibzada</dc:creator>
</cp:coreProperties>
</file>