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06" w:type="dxa"/>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00"/>
        <w:gridCol w:w="1306"/>
      </w:tblGrid>
      <w:tr w:rsidR="001F4F82">
        <w:tblPrEx>
          <w:tblCellMar>
            <w:top w:w="0" w:type="dxa"/>
            <w:bottom w:w="0" w:type="dxa"/>
          </w:tblCellMar>
        </w:tblPrEx>
        <w:trPr>
          <w:trHeight w:hRule="exact" w:val="7000"/>
        </w:trPr>
        <w:tc>
          <w:tcPr>
            <w:tcW w:w="10906" w:type="dxa"/>
            <w:gridSpan w:val="3"/>
            <w:tcBorders>
              <w:top w:val="none" w:sz="0" w:space="0" w:color="FFFFFF"/>
              <w:left w:val="none" w:sz="0" w:space="0" w:color="FFFFFF"/>
              <w:bottom w:val="none" w:sz="0" w:space="0" w:color="FFFFFF"/>
              <w:right w:val="none" w:sz="0" w:space="0" w:color="FFFFFF"/>
            </w:tcBorders>
            <w:shd w:val="clear" w:color="auto" w:fill="0B1F3A"/>
            <w:tcMar>
              <w:top w:w="200" w:type="dxa"/>
              <w:left w:w="1100" w:type="dxa"/>
              <w:bottom w:w="200" w:type="dxa"/>
              <w:right w:w="600" w:type="dxa"/>
            </w:tcMar>
            <w:vAlign w:val="center"/>
          </w:tcPr>
          <w:p w:rsidR="001F4F82" w:rsidRDefault="00073893">
            <w:pPr>
              <w:spacing w:after="160"/>
            </w:pPr>
            <w:r>
              <w:rPr>
                <w:b/>
                <w:bCs/>
                <w:color w:val="5EEAD4"/>
                <w:spacing w:val="60"/>
                <w:sz w:val="17"/>
                <w:szCs w:val="17"/>
              </w:rPr>
              <w:t>DIGITAL EGYPT PIONEERS INITIATIVE  ·  DEPI</w:t>
            </w:r>
          </w:p>
          <w:p w:rsidR="001F4F82" w:rsidRDefault="00073893">
            <w:pPr>
              <w:spacing w:after="120"/>
            </w:pPr>
            <w:r>
              <w:rPr>
                <w:b/>
                <w:bCs/>
                <w:color w:val="FFFFFF"/>
                <w:spacing w:val="50"/>
                <w:sz w:val="19"/>
                <w:szCs w:val="19"/>
              </w:rPr>
              <w:t>DOCUMENT 02 / 06</w:t>
            </w:r>
          </w:p>
          <w:p w:rsidR="001F4F82" w:rsidRDefault="00073893">
            <w:pPr>
              <w:spacing w:after="140"/>
            </w:pPr>
            <w:r>
              <w:rPr>
                <w:b/>
                <w:bCs/>
                <w:color w:val="FFFFFF"/>
                <w:sz w:val="60"/>
                <w:szCs w:val="60"/>
              </w:rPr>
              <w:t>Literature Review &amp; Evaluation</w:t>
            </w:r>
          </w:p>
          <w:p w:rsidR="001F4F82" w:rsidRDefault="00073893">
            <w:pPr>
              <w:spacing w:after="260"/>
            </w:pPr>
            <w:r>
              <w:rPr>
                <w:color w:val="5EEAD4"/>
                <w:sz w:val="24"/>
                <w:szCs w:val="24"/>
              </w:rPr>
              <w:t>Literature · Feedback · Improvements · Grading</w:t>
            </w:r>
          </w:p>
          <w:p w:rsidR="001F4F82" w:rsidRDefault="00073893">
            <w:pPr>
              <w:spacing w:after="30"/>
            </w:pPr>
            <w:r>
              <w:rPr>
                <w:b/>
                <w:bCs/>
                <w:color w:val="FFFFFF"/>
                <w:sz w:val="26"/>
                <w:szCs w:val="26"/>
              </w:rPr>
              <w:t>Egyptian Used-Phone Price Intelligence</w:t>
            </w:r>
          </w:p>
          <w:p w:rsidR="001F4F82" w:rsidRDefault="001C41CF">
            <w:r>
              <w:rPr>
                <w:color w:val="CBD5E1"/>
              </w:rPr>
              <w:t>Price Prediction Model</w:t>
            </w:r>
            <w:r>
              <w:rPr>
                <w:color w:val="CBD5E1"/>
                <w:sz w:val="19"/>
                <w:szCs w:val="19"/>
              </w:rPr>
              <w:t xml:space="preserve"> </w:t>
            </w:r>
            <w:r w:rsidR="00073893">
              <w:rPr>
                <w:color w:val="CBD5E1"/>
                <w:sz w:val="19"/>
                <w:szCs w:val="19"/>
              </w:rPr>
              <w:t>→  Recommender system  →  RAG assistant</w:t>
            </w:r>
          </w:p>
        </w:tc>
      </w:tr>
      <w:tr w:rsidR="001F4F82">
        <w:tblPrEx>
          <w:tblCellMar>
            <w:top w:w="0" w:type="dxa"/>
            <w:bottom w:w="0" w:type="dxa"/>
          </w:tblCellMar>
        </w:tblPrEx>
        <w:trPr>
          <w:trHeight w:hRule="exact" w:val="140"/>
        </w:trPr>
        <w:tc>
          <w:tcPr>
            <w:tcW w:w="6000" w:type="dxa"/>
            <w:tcBorders>
              <w:top w:val="none" w:sz="0" w:space="0" w:color="FFFFFF"/>
              <w:left w:val="none" w:sz="0" w:space="0" w:color="FFFFFF"/>
              <w:bottom w:val="none" w:sz="0" w:space="0" w:color="FFFFFF"/>
              <w:right w:val="none" w:sz="0" w:space="0" w:color="FFFFFF"/>
            </w:tcBorders>
            <w:shd w:val="clear" w:color="auto" w:fill="0F766E"/>
          </w:tcPr>
          <w:p w:rsidR="001F4F82" w:rsidRDefault="001F4F82"/>
        </w:tc>
        <w:tc>
          <w:tcPr>
            <w:tcW w:w="3600" w:type="dxa"/>
            <w:tcBorders>
              <w:top w:val="none" w:sz="0" w:space="0" w:color="FFFFFF"/>
              <w:left w:val="none" w:sz="0" w:space="0" w:color="FFFFFF"/>
              <w:bottom w:val="none" w:sz="0" w:space="0" w:color="FFFFFF"/>
              <w:right w:val="none" w:sz="0" w:space="0" w:color="FFFFFF"/>
            </w:tcBorders>
            <w:shd w:val="clear" w:color="auto" w:fill="5EEAD4"/>
          </w:tcPr>
          <w:p w:rsidR="001F4F82" w:rsidRDefault="001F4F82"/>
        </w:tc>
        <w:tc>
          <w:tcPr>
            <w:tcW w:w="1306" w:type="dxa"/>
            <w:tcBorders>
              <w:top w:val="none" w:sz="0" w:space="0" w:color="FFFFFF"/>
              <w:left w:val="none" w:sz="0" w:space="0" w:color="FFFFFF"/>
              <w:bottom w:val="none" w:sz="0" w:space="0" w:color="FFFFFF"/>
              <w:right w:val="none" w:sz="0" w:space="0" w:color="FFFFFF"/>
            </w:tcBorders>
            <w:shd w:val="clear" w:color="auto" w:fill="F59E0B"/>
          </w:tcPr>
          <w:p w:rsidR="001F4F82" w:rsidRDefault="001F4F82"/>
        </w:tc>
      </w:tr>
    </w:tbl>
    <w:p w:rsidR="001F4F82" w:rsidRDefault="00073893">
      <w:pPr>
        <w:spacing w:before="300" w:after="120"/>
        <w:ind w:left="1080"/>
      </w:pPr>
      <w:r>
        <w:rPr>
          <w:b/>
          <w:bCs/>
          <w:color w:val="0F766E"/>
          <w:spacing w:val="80"/>
          <w:sz w:val="22"/>
          <w:szCs w:val="22"/>
        </w:rPr>
        <w:t>OUR TEAM</w:t>
      </w:r>
    </w:p>
    <w:tbl>
      <w:tblPr>
        <w:tblW w:w="520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600"/>
      </w:tblGrid>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1F4F82">
            <w:pPr>
              <w:spacing w:after="40" w:line="260" w:lineRule="auto"/>
            </w:pPr>
          </w:p>
        </w:tc>
        <w:tc>
          <w:tcPr>
            <w:tcW w:w="46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Member</w:t>
            </w:r>
          </w:p>
        </w:tc>
        <w:bookmarkStart w:id="0" w:name="_GoBack"/>
        <w:bookmarkEnd w:id="0"/>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1</w:t>
            </w:r>
          </w:p>
        </w:tc>
        <w:tc>
          <w:tcPr>
            <w:tcW w:w="4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tcPr>
          <w:p w:rsidR="001F4F82" w:rsidRDefault="00073893">
            <w:proofErr w:type="spellStart"/>
            <w:r>
              <w:rPr>
                <w:b/>
                <w:bCs/>
                <w:i/>
                <w:iCs/>
                <w:color w:val="1F2937"/>
                <w:sz w:val="19"/>
                <w:szCs w:val="19"/>
              </w:rPr>
              <w:t>Fadwa</w:t>
            </w:r>
            <w:proofErr w:type="spellEnd"/>
            <w:r>
              <w:rPr>
                <w:b/>
                <w:bCs/>
                <w:i/>
                <w:iCs/>
                <w:color w:val="1F2937"/>
                <w:sz w:val="19"/>
                <w:szCs w:val="19"/>
              </w:rPr>
              <w:t xml:space="preserve"> Mahmoud </w:t>
            </w:r>
            <w:proofErr w:type="spellStart"/>
            <w:r>
              <w:rPr>
                <w:b/>
                <w:bCs/>
                <w:i/>
                <w:iCs/>
                <w:color w:val="1F2937"/>
                <w:sz w:val="19"/>
                <w:szCs w:val="19"/>
              </w:rPr>
              <w:t>Hamed</w:t>
            </w:r>
            <w:proofErr w:type="spellEnd"/>
          </w:p>
        </w:tc>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2</w:t>
            </w:r>
          </w:p>
        </w:tc>
        <w:tc>
          <w:tcPr>
            <w:tcW w:w="4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tcPr>
          <w:p w:rsidR="001F4F82" w:rsidRDefault="00073893">
            <w:r>
              <w:rPr>
                <w:b/>
                <w:bCs/>
                <w:i/>
                <w:iCs/>
                <w:color w:val="1F2937"/>
                <w:sz w:val="19"/>
                <w:szCs w:val="19"/>
              </w:rPr>
              <w:t xml:space="preserve">Viola Farouk </w:t>
            </w:r>
            <w:proofErr w:type="spellStart"/>
            <w:r>
              <w:rPr>
                <w:b/>
                <w:bCs/>
                <w:i/>
                <w:iCs/>
                <w:color w:val="1F2937"/>
                <w:sz w:val="19"/>
                <w:szCs w:val="19"/>
              </w:rPr>
              <w:t>Shafik</w:t>
            </w:r>
            <w:proofErr w:type="spellEnd"/>
          </w:p>
        </w:tc>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3</w:t>
            </w:r>
          </w:p>
        </w:tc>
        <w:tc>
          <w:tcPr>
            <w:tcW w:w="4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tcPr>
          <w:p w:rsidR="001F4F82" w:rsidRDefault="00073893">
            <w:proofErr w:type="spellStart"/>
            <w:r>
              <w:rPr>
                <w:b/>
                <w:bCs/>
                <w:i/>
                <w:iCs/>
                <w:color w:val="1F2937"/>
                <w:sz w:val="19"/>
                <w:szCs w:val="19"/>
              </w:rPr>
              <w:t>Aya</w:t>
            </w:r>
            <w:proofErr w:type="spellEnd"/>
            <w:r>
              <w:rPr>
                <w:b/>
                <w:bCs/>
                <w:i/>
                <w:iCs/>
                <w:color w:val="1F2937"/>
                <w:sz w:val="19"/>
                <w:szCs w:val="19"/>
              </w:rPr>
              <w:t xml:space="preserve"> Youssef Mohamed</w:t>
            </w:r>
          </w:p>
        </w:tc>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4</w:t>
            </w:r>
          </w:p>
        </w:tc>
        <w:tc>
          <w:tcPr>
            <w:tcW w:w="4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tcPr>
          <w:p w:rsidR="001F4F82" w:rsidRDefault="00073893">
            <w:proofErr w:type="spellStart"/>
            <w:r>
              <w:rPr>
                <w:b/>
                <w:bCs/>
                <w:i/>
                <w:iCs/>
                <w:color w:val="1F2937"/>
                <w:sz w:val="19"/>
                <w:szCs w:val="19"/>
              </w:rPr>
              <w:t>Amr</w:t>
            </w:r>
            <w:proofErr w:type="spellEnd"/>
            <w:r>
              <w:rPr>
                <w:b/>
                <w:bCs/>
                <w:i/>
                <w:iCs/>
                <w:color w:val="1F2937"/>
                <w:sz w:val="19"/>
                <w:szCs w:val="19"/>
              </w:rPr>
              <w:t xml:space="preserve"> Mohamed </w:t>
            </w:r>
            <w:proofErr w:type="spellStart"/>
            <w:r>
              <w:rPr>
                <w:b/>
                <w:bCs/>
                <w:i/>
                <w:iCs/>
                <w:color w:val="1F2937"/>
                <w:sz w:val="19"/>
                <w:szCs w:val="19"/>
              </w:rPr>
              <w:t>Hashem</w:t>
            </w:r>
            <w:proofErr w:type="spellEnd"/>
          </w:p>
        </w:tc>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5</w:t>
            </w:r>
          </w:p>
        </w:tc>
        <w:tc>
          <w:tcPr>
            <w:tcW w:w="4600" w:type="dxa"/>
            <w:tcBorders>
              <w:top w:val="none" w:sz="0" w:space="0" w:color="FFFFFF"/>
              <w:left w:val="none" w:sz="0" w:space="0" w:color="FFFFFF"/>
              <w:bottom w:val="single" w:sz="4" w:space="0" w:color="CBD5E1"/>
              <w:right w:val="none" w:sz="0" w:space="0" w:color="FFFFFF"/>
            </w:tcBorders>
            <w:shd w:val="clear" w:color="auto" w:fill="E6F6F4"/>
            <w:tcMar>
              <w:top w:w="70" w:type="dxa"/>
              <w:left w:w="110" w:type="dxa"/>
              <w:bottom w:w="70" w:type="dxa"/>
              <w:right w:w="110" w:type="dxa"/>
            </w:tcMar>
          </w:tcPr>
          <w:p w:rsidR="001F4F82" w:rsidRDefault="00073893">
            <w:proofErr w:type="spellStart"/>
            <w:r>
              <w:rPr>
                <w:b/>
                <w:bCs/>
                <w:i/>
                <w:iCs/>
                <w:color w:val="1F2937"/>
                <w:sz w:val="19"/>
                <w:szCs w:val="19"/>
              </w:rPr>
              <w:t>Sawsan</w:t>
            </w:r>
            <w:proofErr w:type="spellEnd"/>
            <w:r>
              <w:rPr>
                <w:b/>
                <w:bCs/>
                <w:i/>
                <w:iCs/>
                <w:color w:val="1F2937"/>
                <w:sz w:val="19"/>
                <w:szCs w:val="19"/>
              </w:rPr>
              <w:t xml:space="preserve"> Mohamed </w:t>
            </w:r>
            <w:proofErr w:type="spellStart"/>
            <w:r>
              <w:rPr>
                <w:b/>
                <w:bCs/>
                <w:i/>
                <w:iCs/>
                <w:color w:val="1F2937"/>
                <w:sz w:val="19"/>
                <w:szCs w:val="19"/>
              </w:rPr>
              <w:t>Ibrahem</w:t>
            </w:r>
            <w:proofErr w:type="spellEnd"/>
          </w:p>
        </w:tc>
      </w:tr>
      <w:tr w:rsidR="001F4F82">
        <w:tblPrEx>
          <w:tblCellMar>
            <w:top w:w="0" w:type="dxa"/>
            <w:bottom w:w="0" w:type="dxa"/>
          </w:tblCellMar>
        </w:tblPrEx>
        <w:tc>
          <w:tcPr>
            <w:tcW w:w="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vAlign w:val="center"/>
          </w:tcPr>
          <w:p w:rsidR="001F4F82" w:rsidRDefault="00073893">
            <w:pPr>
              <w:spacing w:after="40" w:line="260" w:lineRule="auto"/>
              <w:jc w:val="center"/>
            </w:pPr>
            <w:r>
              <w:rPr>
                <w:b/>
                <w:bCs/>
                <w:color w:val="0F766E"/>
                <w:sz w:val="19"/>
                <w:szCs w:val="19"/>
              </w:rPr>
              <w:t>6</w:t>
            </w:r>
          </w:p>
        </w:tc>
        <w:tc>
          <w:tcPr>
            <w:tcW w:w="4600" w:type="dxa"/>
            <w:tcBorders>
              <w:top w:val="none" w:sz="0" w:space="0" w:color="FFFFFF"/>
              <w:left w:val="none" w:sz="0" w:space="0" w:color="FFFFFF"/>
              <w:bottom w:val="single" w:sz="4" w:space="0" w:color="CBD5E1"/>
              <w:right w:val="none" w:sz="0" w:space="0" w:color="FFFFFF"/>
            </w:tcBorders>
            <w:tcMar>
              <w:top w:w="70" w:type="dxa"/>
              <w:left w:w="110" w:type="dxa"/>
              <w:bottom w:w="70" w:type="dxa"/>
              <w:right w:w="110" w:type="dxa"/>
            </w:tcMar>
          </w:tcPr>
          <w:p w:rsidR="001F4F82" w:rsidRDefault="00073893">
            <w:r>
              <w:rPr>
                <w:b/>
                <w:bCs/>
                <w:i/>
                <w:iCs/>
                <w:color w:val="1F2937"/>
                <w:sz w:val="19"/>
                <w:szCs w:val="19"/>
              </w:rPr>
              <w:t xml:space="preserve">Youssef Hani </w:t>
            </w:r>
            <w:proofErr w:type="spellStart"/>
            <w:r>
              <w:rPr>
                <w:b/>
                <w:bCs/>
                <w:i/>
                <w:iCs/>
                <w:color w:val="1F2937"/>
                <w:sz w:val="19"/>
                <w:szCs w:val="19"/>
              </w:rPr>
              <w:t>Nashat</w:t>
            </w:r>
            <w:proofErr w:type="spellEnd"/>
          </w:p>
        </w:tc>
      </w:tr>
    </w:tbl>
    <w:p w:rsidR="001F4F82" w:rsidRDefault="00073893">
      <w:pPr>
        <w:spacing w:before="300"/>
        <w:ind w:left="1080"/>
      </w:pPr>
      <w:r>
        <w:rPr>
          <w:color w:val="6B7280"/>
          <w:sz w:val="17"/>
          <w:szCs w:val="17"/>
        </w:rPr>
        <w:t xml:space="preserve">Date: </w:t>
      </w:r>
      <w:r>
        <w:rPr>
          <w:b/>
          <w:bCs/>
          <w:sz w:val="17"/>
          <w:szCs w:val="17"/>
        </w:rPr>
        <w:t>16 October 2026</w:t>
      </w:r>
      <w:r>
        <w:rPr>
          <w:color w:val="6B7280"/>
          <w:sz w:val="17"/>
          <w:szCs w:val="17"/>
        </w:rPr>
        <w:t xml:space="preserve">     Version: </w:t>
      </w:r>
      <w:r>
        <w:rPr>
          <w:b/>
          <w:bCs/>
          <w:sz w:val="17"/>
          <w:szCs w:val="17"/>
        </w:rPr>
        <w:t>1.0</w:t>
      </w:r>
      <w:r>
        <w:rPr>
          <w:color w:val="6B7280"/>
          <w:sz w:val="17"/>
          <w:szCs w:val="17"/>
        </w:rPr>
        <w:t xml:space="preserve">     Data source: </w:t>
      </w:r>
      <w:proofErr w:type="spellStart"/>
      <w:r>
        <w:rPr>
          <w:b/>
          <w:bCs/>
          <w:sz w:val="17"/>
          <w:szCs w:val="17"/>
        </w:rPr>
        <w:t>Dubizzle</w:t>
      </w:r>
      <w:proofErr w:type="spellEnd"/>
      <w:r>
        <w:rPr>
          <w:b/>
          <w:bCs/>
          <w:sz w:val="17"/>
          <w:szCs w:val="17"/>
        </w:rPr>
        <w:t xml:space="preserve"> Egypt · 8,213 phone ads</w:t>
      </w:r>
    </w:p>
    <w:p w:rsidR="001F4F82" w:rsidRDefault="001F4F82">
      <w:pPr>
        <w:sectPr w:rsidR="001F4F82">
          <w:pgSz w:w="11906" w:h="16838"/>
          <w:pgMar w:top="0" w:right="0" w:bottom="600" w:left="0" w:header="0" w:footer="0" w:gutter="0"/>
          <w:cols w:space="720"/>
          <w:docGrid w:linePitch="360"/>
        </w:sectPr>
      </w:pPr>
    </w:p>
    <w:tbl>
      <w:tblPr>
        <w:tblW w:w="9904"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1F4F82">
        <w:tblPrEx>
          <w:tblCellMar>
            <w:top w:w="0" w:type="dxa"/>
            <w:bottom w:w="0" w:type="dxa"/>
          </w:tblCellMar>
        </w:tblPrEx>
        <w:tc>
          <w:tcPr>
            <w:tcW w:w="9904" w:type="dxa"/>
            <w:tcBorders>
              <w:top w:val="none" w:sz="0" w:space="0" w:color="FFFFFF"/>
              <w:left w:val="single" w:sz="24" w:space="0" w:color="0F766E"/>
              <w:bottom w:val="none" w:sz="0" w:space="0" w:color="FFFFFF"/>
              <w:right w:val="none" w:sz="0" w:space="0" w:color="FFFFFF"/>
            </w:tcBorders>
            <w:shd w:val="clear" w:color="auto" w:fill="E6F6F4"/>
            <w:tcMar>
              <w:top w:w="120" w:type="dxa"/>
              <w:left w:w="220" w:type="dxa"/>
              <w:bottom w:w="120" w:type="dxa"/>
              <w:right w:w="200" w:type="dxa"/>
            </w:tcMar>
          </w:tcPr>
          <w:p w:rsidR="001F4F82" w:rsidRDefault="00073893">
            <w:pPr>
              <w:spacing w:after="40"/>
            </w:pPr>
            <w:r>
              <w:rPr>
                <w:b/>
                <w:bCs/>
                <w:color w:val="0F766E"/>
              </w:rPr>
              <w:lastRenderedPageBreak/>
              <w:t>About this document</w:t>
            </w:r>
          </w:p>
          <w:p w:rsidR="001F4F82" w:rsidRDefault="00073893">
            <w:pPr>
              <w:spacing w:line="280" w:lineRule="auto"/>
            </w:pPr>
            <w:r>
              <w:rPr>
                <w:color w:val="1F2937"/>
                <w:sz w:val="20"/>
                <w:szCs w:val="20"/>
              </w:rPr>
              <w:t xml:space="preserve">This is </w:t>
            </w:r>
            <w:r>
              <w:rPr>
                <w:b/>
                <w:bCs/>
                <w:color w:val="1F2937"/>
                <w:sz w:val="20"/>
                <w:szCs w:val="20"/>
              </w:rPr>
              <w:t>Document 2 of 6</w:t>
            </w:r>
            <w:r>
              <w:rPr>
                <w:color w:val="1F2937"/>
                <w:sz w:val="20"/>
                <w:szCs w:val="20"/>
              </w:rPr>
              <w:t xml:space="preserve"> for the DEPI project delivery of </w:t>
            </w:r>
            <w:r>
              <w:rPr>
                <w:b/>
                <w:bCs/>
                <w:color w:val="1F2937"/>
                <w:sz w:val="20"/>
                <w:szCs w:val="20"/>
              </w:rPr>
              <w:t>16 October 2026</w:t>
            </w:r>
            <w:r>
              <w:rPr>
                <w:color w:val="1F2937"/>
                <w:sz w:val="20"/>
                <w:szCs w:val="20"/>
              </w:rPr>
              <w:t>. It covers the Literature Review, Feedback &amp; Evaluation, Suggested Improvements and the Final Grading Criteria.</w:t>
            </w:r>
          </w:p>
        </w:tc>
      </w:tr>
    </w:tbl>
    <w:p w:rsidR="001F4F82" w:rsidRDefault="00073893">
      <w:pPr>
        <w:pStyle w:val="1"/>
        <w:keepNext/>
        <w:shd w:val="clear" w:color="auto" w:fill="0F766E"/>
        <w:spacing w:before="360" w:after="180"/>
      </w:pPr>
      <w:r>
        <w:rPr>
          <w:color w:val="FFFFFF"/>
        </w:rPr>
        <w:t xml:space="preserve">  1  Literature Review</w:t>
      </w:r>
    </w:p>
    <w:p w:rsidR="001F4F82" w:rsidRDefault="00073893">
      <w:pPr>
        <w:pStyle w:val="2"/>
        <w:keepNext/>
        <w:pBdr>
          <w:bottom w:val="single" w:sz="4" w:space="2" w:color="5EEAD4"/>
        </w:pBdr>
        <w:spacing w:before="240" w:after="100"/>
      </w:pPr>
      <w:r>
        <w:rPr>
          <w:color w:val="0F766E"/>
        </w:rPr>
        <w:t>1.1  Purpose and scope</w:t>
      </w:r>
    </w:p>
    <w:p w:rsidR="001F4F82" w:rsidRDefault="00073893">
      <w:pPr>
        <w:spacing w:after="120" w:line="300" w:lineRule="auto"/>
      </w:pPr>
      <w:r>
        <w:rPr>
          <w:color w:val="1F2937"/>
        </w:rPr>
        <w:t xml:space="preserve">This review surveys the research and practice behind the four building blocks of our system: used-goods price prediction, text </w:t>
      </w:r>
      <w:proofErr w:type="spellStart"/>
      <w:r>
        <w:rPr>
          <w:color w:val="1F2937"/>
        </w:rPr>
        <w:t>modelling</w:t>
      </w:r>
      <w:proofErr w:type="spellEnd"/>
      <w:r>
        <w:rPr>
          <w:color w:val="1F2937"/>
        </w:rPr>
        <w:t xml:space="preserve"> for mixed Arabic–English listings, content-based recommendation, and retrieval-augmented generat</w:t>
      </w:r>
      <w:r>
        <w:rPr>
          <w:color w:val="1F2937"/>
        </w:rPr>
        <w:t xml:space="preserve">ion (RAG) with tool use. For each area we </w:t>
      </w:r>
      <w:proofErr w:type="spellStart"/>
      <w:r>
        <w:rPr>
          <w:color w:val="1F2937"/>
        </w:rPr>
        <w:t>summarise</w:t>
      </w:r>
      <w:proofErr w:type="spellEnd"/>
      <w:r>
        <w:rPr>
          <w:color w:val="1F2937"/>
        </w:rPr>
        <w:t xml:space="preserve"> the main findings and state how they shaped a decision in our project.</w:t>
      </w:r>
    </w:p>
    <w:p w:rsidR="001F4F82" w:rsidRDefault="00073893">
      <w:pPr>
        <w:pStyle w:val="2"/>
        <w:keepNext/>
        <w:pBdr>
          <w:bottom w:val="single" w:sz="4" w:space="2" w:color="5EEAD4"/>
        </w:pBdr>
        <w:spacing w:before="240" w:after="100"/>
      </w:pPr>
      <w:r>
        <w:rPr>
          <w:color w:val="0F766E"/>
        </w:rPr>
        <w:t>1.2  Price prediction for used goods</w:t>
      </w:r>
    </w:p>
    <w:p w:rsidR="001F4F82" w:rsidRDefault="00073893">
      <w:pPr>
        <w:spacing w:after="120" w:line="300" w:lineRule="auto"/>
      </w:pPr>
      <w:r>
        <w:rPr>
          <w:color w:val="1F2937"/>
        </w:rPr>
        <w:t xml:space="preserve">Pricing a second-hand item from its attributes follows the </w:t>
      </w:r>
      <w:r>
        <w:rPr>
          <w:b/>
          <w:bCs/>
          <w:color w:val="1F2937"/>
        </w:rPr>
        <w:t>hedonic pricing</w:t>
      </w:r>
      <w:r>
        <w:rPr>
          <w:color w:val="1F2937"/>
        </w:rPr>
        <w:t xml:space="preserve"> idea: price is explai</w:t>
      </w:r>
      <w:r>
        <w:rPr>
          <w:color w:val="1F2937"/>
        </w:rPr>
        <w:t xml:space="preserve">ned by the characteristics of the product, such as brand, storage, RAM and condition [1]. Modern work replaces the linear hedonic model with machine learning. Gradient-boosted trees such as </w:t>
      </w:r>
      <w:proofErr w:type="spellStart"/>
      <w:r>
        <w:rPr>
          <w:color w:val="1F2937"/>
        </w:rPr>
        <w:t>XGBoost</w:t>
      </w:r>
      <w:proofErr w:type="spellEnd"/>
      <w:r>
        <w:rPr>
          <w:color w:val="1F2937"/>
        </w:rPr>
        <w:t xml:space="preserve"> are a standard strong baseline on structured data [2].</w:t>
      </w:r>
    </w:p>
    <w:p w:rsidR="001F4F82" w:rsidRDefault="00073893">
      <w:pPr>
        <w:spacing w:after="120" w:line="300" w:lineRule="auto"/>
      </w:pPr>
      <w:r>
        <w:rPr>
          <w:color w:val="1F2937"/>
        </w:rPr>
        <w:t>Rec</w:t>
      </w:r>
      <w:r>
        <w:rPr>
          <w:color w:val="1F2937"/>
        </w:rPr>
        <w:t>ent benchmarks show that tree-based models often remain competitive with, or better than, deep networks on medium-sized tabular datasets [3], [4]. Deep Learning becomes more attractive when unstructured text, such as a listing title, is added to the input.</w:t>
      </w:r>
      <w:r>
        <w:rPr>
          <w:color w:val="1F2937"/>
        </w:rPr>
        <w:t xml:space="preserve"> </w:t>
      </w:r>
      <w:r>
        <w:rPr>
          <w:b/>
          <w:bCs/>
          <w:color w:val="1F2937"/>
        </w:rPr>
        <w:t>Impact on our project:</w:t>
      </w:r>
      <w:r>
        <w:rPr>
          <w:color w:val="1F2937"/>
        </w:rPr>
        <w:t xml:space="preserve"> we do not assume Deep Learning wins. We compare it against strong classical baselines on the same test set and report where it adds value (Objective 2 in Document 01).</w:t>
      </w:r>
    </w:p>
    <w:p w:rsidR="001F4F82" w:rsidRDefault="00073893">
      <w:pPr>
        <w:pStyle w:val="2"/>
        <w:keepNext/>
        <w:pBdr>
          <w:bottom w:val="single" w:sz="4" w:space="2" w:color="5EEAD4"/>
        </w:pBdr>
        <w:spacing w:before="240" w:after="100"/>
      </w:pPr>
      <w:r>
        <w:rPr>
          <w:color w:val="0F766E"/>
        </w:rPr>
        <w:t xml:space="preserve">1.3  </w:t>
      </w:r>
      <w:proofErr w:type="spellStart"/>
      <w:r>
        <w:rPr>
          <w:color w:val="0F766E"/>
        </w:rPr>
        <w:t>Modelling</w:t>
      </w:r>
      <w:proofErr w:type="spellEnd"/>
      <w:r>
        <w:rPr>
          <w:color w:val="0F766E"/>
        </w:rPr>
        <w:t xml:space="preserve"> mixed Arabic–English text</w:t>
      </w:r>
    </w:p>
    <w:p w:rsidR="001F4F82" w:rsidRDefault="00073893">
      <w:pPr>
        <w:spacing w:after="120" w:line="300" w:lineRule="auto"/>
      </w:pPr>
      <w:r>
        <w:rPr>
          <w:color w:val="1F2937"/>
        </w:rPr>
        <w:t xml:space="preserve">Marketplace titles are </w:t>
      </w:r>
      <w:r>
        <w:rPr>
          <w:color w:val="1F2937"/>
        </w:rPr>
        <w:t xml:space="preserve">short, noisy and code-switched. Pre-trained transformers such as BERT [5] and its multilingual or Arabic variants, including XLM-R [6] and </w:t>
      </w:r>
      <w:proofErr w:type="spellStart"/>
      <w:r>
        <w:rPr>
          <w:color w:val="1F2937"/>
        </w:rPr>
        <w:t>AraBERT</w:t>
      </w:r>
      <w:proofErr w:type="spellEnd"/>
      <w:r>
        <w:rPr>
          <w:color w:val="1F2937"/>
        </w:rPr>
        <w:t xml:space="preserve"> [7], give contextual representations that go beyond TF-IDF counts. Sentence-BERT [8] produces fixed-size sent</w:t>
      </w:r>
      <w:r>
        <w:rPr>
          <w:color w:val="1F2937"/>
        </w:rPr>
        <w:t xml:space="preserve">ence </w:t>
      </w:r>
      <w:proofErr w:type="spellStart"/>
      <w:r>
        <w:rPr>
          <w:color w:val="1F2937"/>
        </w:rPr>
        <w:t>embeddings</w:t>
      </w:r>
      <w:proofErr w:type="spellEnd"/>
      <w:r>
        <w:rPr>
          <w:color w:val="1F2937"/>
        </w:rPr>
        <w:t xml:space="preserve"> that can be compared with cosine similarity, which makes them useful for both price features and retrieval.</w:t>
      </w:r>
    </w:p>
    <w:p w:rsidR="001F4F82" w:rsidRDefault="00073893">
      <w:pPr>
        <w:spacing w:after="120" w:line="300" w:lineRule="auto"/>
      </w:pPr>
      <w:r>
        <w:rPr>
          <w:b/>
          <w:bCs/>
          <w:color w:val="1F2937"/>
        </w:rPr>
        <w:t>Impact on our project:</w:t>
      </w:r>
      <w:r>
        <w:rPr>
          <w:color w:val="1F2937"/>
        </w:rPr>
        <w:t xml:space="preserve"> a documented </w:t>
      </w:r>
      <w:proofErr w:type="spellStart"/>
      <w:r>
        <w:rPr>
          <w:color w:val="1F2937"/>
        </w:rPr>
        <w:t>normalisation</w:t>
      </w:r>
      <w:proofErr w:type="spellEnd"/>
      <w:r>
        <w:rPr>
          <w:color w:val="1F2937"/>
        </w:rPr>
        <w:t xml:space="preserve"> step (the shared normalize() function) comes first, then TF-IDF is used as a basel</w:t>
      </w:r>
      <w:r>
        <w:rPr>
          <w:color w:val="1F2937"/>
        </w:rPr>
        <w:t xml:space="preserve">ine against multilingual </w:t>
      </w:r>
      <w:proofErr w:type="spellStart"/>
      <w:r>
        <w:rPr>
          <w:color w:val="1F2937"/>
        </w:rPr>
        <w:t>embeddings</w:t>
      </w:r>
      <w:proofErr w:type="spellEnd"/>
      <w:r>
        <w:rPr>
          <w:color w:val="1F2937"/>
        </w:rPr>
        <w:t>, so we can measure the value of each step.</w:t>
      </w:r>
    </w:p>
    <w:p w:rsidR="001F4F82" w:rsidRDefault="00073893">
      <w:pPr>
        <w:pStyle w:val="2"/>
        <w:keepNext/>
        <w:pBdr>
          <w:bottom w:val="single" w:sz="4" w:space="2" w:color="5EEAD4"/>
        </w:pBdr>
        <w:spacing w:before="240" w:after="100"/>
      </w:pPr>
      <w:r>
        <w:rPr>
          <w:color w:val="0F766E"/>
        </w:rPr>
        <w:t>1.4  Recommender systems</w:t>
      </w:r>
    </w:p>
    <w:p w:rsidR="001F4F82" w:rsidRDefault="00073893">
      <w:pPr>
        <w:spacing w:after="120" w:line="300" w:lineRule="auto"/>
      </w:pPr>
      <w:r>
        <w:rPr>
          <w:color w:val="1F2937"/>
        </w:rPr>
        <w:t xml:space="preserve">Content-based recommenders suggest items whose attributes are similar to what the user asked for or liked [9]. They need no history of user </w:t>
      </w:r>
      <w:proofErr w:type="spellStart"/>
      <w:r>
        <w:rPr>
          <w:color w:val="1F2937"/>
        </w:rPr>
        <w:t>behaviour</w:t>
      </w:r>
      <w:proofErr w:type="spellEnd"/>
      <w:r>
        <w:rPr>
          <w:color w:val="1F2937"/>
        </w:rPr>
        <w:t>, s</w:t>
      </w:r>
      <w:r>
        <w:rPr>
          <w:color w:val="1F2937"/>
        </w:rPr>
        <w:t xml:space="preserve">o they avoid the cold-start problem of collaborative filtering. </w:t>
      </w:r>
      <w:r>
        <w:rPr>
          <w:b/>
          <w:bCs/>
          <w:color w:val="1F2937"/>
        </w:rPr>
        <w:t>Impact on our project:</w:t>
      </w:r>
      <w:r>
        <w:rPr>
          <w:color w:val="1F2937"/>
        </w:rPr>
        <w:t xml:space="preserve"> our data has no user–item interactions, so we use a content-based design (similarity plus a budget filter) and keep collaborative filtering out of scope, as stated in Do</w:t>
      </w:r>
      <w:r>
        <w:rPr>
          <w:color w:val="1F2937"/>
        </w:rPr>
        <w:t>cument 01.</w:t>
      </w:r>
    </w:p>
    <w:p w:rsidR="001F4F82" w:rsidRDefault="00073893">
      <w:pPr>
        <w:pStyle w:val="2"/>
        <w:keepNext/>
        <w:pBdr>
          <w:bottom w:val="single" w:sz="4" w:space="2" w:color="5EEAD4"/>
        </w:pBdr>
        <w:spacing w:before="240" w:after="100"/>
      </w:pPr>
      <w:r>
        <w:rPr>
          <w:color w:val="0F766E"/>
        </w:rPr>
        <w:t>1.5  RAG and tool use</w:t>
      </w:r>
    </w:p>
    <w:p w:rsidR="001F4F82" w:rsidRDefault="00073893">
      <w:pPr>
        <w:spacing w:after="120" w:line="300" w:lineRule="auto"/>
      </w:pPr>
      <w:r>
        <w:rPr>
          <w:color w:val="1F2937"/>
        </w:rPr>
        <w:t xml:space="preserve">RAG combines a retriever with a text generator so that answers are grounded in retrieved documents instead of the model memory alone [10]. Dense retrieval [11] improves recall over keyword search. Work on tool-using language models, such as </w:t>
      </w:r>
      <w:proofErr w:type="spellStart"/>
      <w:r>
        <w:rPr>
          <w:color w:val="1F2937"/>
        </w:rPr>
        <w:t>ReAct</w:t>
      </w:r>
      <w:proofErr w:type="spellEnd"/>
      <w:r>
        <w:rPr>
          <w:color w:val="1F2937"/>
        </w:rPr>
        <w:t xml:space="preserve"> [12] and </w:t>
      </w:r>
      <w:proofErr w:type="spellStart"/>
      <w:r>
        <w:rPr>
          <w:color w:val="1F2937"/>
        </w:rPr>
        <w:t>Toolformer</w:t>
      </w:r>
      <w:proofErr w:type="spellEnd"/>
      <w:r>
        <w:rPr>
          <w:color w:val="1F2937"/>
        </w:rPr>
        <w:t xml:space="preserve"> [13], shows that models can call external functions for facts or calculations they cannot reliably produce themselves.</w:t>
      </w:r>
    </w:p>
    <w:p w:rsidR="001F4F82" w:rsidRDefault="00073893">
      <w:pPr>
        <w:spacing w:after="120" w:line="300" w:lineRule="auto"/>
      </w:pPr>
      <w:r>
        <w:rPr>
          <w:b/>
          <w:bCs/>
          <w:color w:val="1F2937"/>
        </w:rPr>
        <w:lastRenderedPageBreak/>
        <w:t>Impact on our project:</w:t>
      </w:r>
      <w:r>
        <w:rPr>
          <w:color w:val="1F2937"/>
        </w:rPr>
        <w:t xml:space="preserve"> the assistant retrieves real ads, calls the price model as a tool instead of guessing prices, and cites</w:t>
      </w:r>
      <w:r>
        <w:rPr>
          <w:color w:val="1F2937"/>
        </w:rPr>
        <w:t xml:space="preserve"> ad IDs that we verify against the dataset (the RAG reliability KPI).</w:t>
      </w:r>
    </w:p>
    <w:p w:rsidR="001F4F82" w:rsidRDefault="00073893">
      <w:pPr>
        <w:pStyle w:val="2"/>
        <w:keepNext/>
        <w:pBdr>
          <w:bottom w:val="single" w:sz="4" w:space="2" w:color="5EEAD4"/>
        </w:pBdr>
        <w:spacing w:before="240" w:after="100"/>
      </w:pPr>
      <w:r>
        <w:rPr>
          <w:color w:val="0F766E"/>
        </w:rPr>
        <w:t>1.6  Summary of the review</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1000"/>
        <w:gridCol w:w="3704"/>
      </w:tblGrid>
      <w:tr w:rsidR="001F4F82">
        <w:tblPrEx>
          <w:tblCellMar>
            <w:top w:w="0" w:type="dxa"/>
            <w:bottom w:w="0" w:type="dxa"/>
          </w:tblCellMar>
        </w:tblPrEx>
        <w:trPr>
          <w:cantSplit/>
          <w:tblHeader/>
        </w:trPr>
        <w:tc>
          <w:tcPr>
            <w:tcW w:w="19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Topic</w:t>
            </w:r>
          </w:p>
        </w:tc>
        <w:tc>
          <w:tcPr>
            <w:tcW w:w="33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Key finding</w:t>
            </w:r>
          </w:p>
        </w:tc>
        <w:tc>
          <w:tcPr>
            <w:tcW w:w="1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Source</w:t>
            </w:r>
          </w:p>
        </w:tc>
        <w:tc>
          <w:tcPr>
            <w:tcW w:w="37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How it shaped our project</w:t>
            </w:r>
          </w:p>
        </w:tc>
      </w:tr>
      <w:tr w:rsidR="001F4F82">
        <w:tblPrEx>
          <w:tblCellMar>
            <w:top w:w="0" w:type="dxa"/>
            <w:bottom w:w="0" w:type="dxa"/>
          </w:tblCellMar>
        </w:tblPrEx>
        <w:trPr>
          <w:cantSplit/>
        </w:trPr>
        <w:tc>
          <w:tcPr>
            <w:tcW w:w="1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Hedonic pricing</w:t>
            </w:r>
          </w:p>
        </w:tc>
        <w:tc>
          <w:tcPr>
            <w:tcW w:w="3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Price is explained by item attributes</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[1]</w:t>
            </w:r>
          </w:p>
        </w:tc>
        <w:tc>
          <w:tcPr>
            <w:tcW w:w="37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Extract brand, storage, RAM, condition as features</w:t>
            </w:r>
          </w:p>
        </w:tc>
      </w:tr>
      <w:tr w:rsidR="001F4F82">
        <w:tblPrEx>
          <w:tblCellMar>
            <w:top w:w="0" w:type="dxa"/>
            <w:bottom w:w="0" w:type="dxa"/>
          </w:tblCellMar>
        </w:tblPrEx>
        <w:trPr>
          <w:cantSplit/>
        </w:trPr>
        <w:tc>
          <w:tcPr>
            <w:tcW w:w="1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Tabular ML</w:t>
            </w:r>
          </w:p>
        </w:tc>
        <w:tc>
          <w:tcPr>
            <w:tcW w:w="3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Boosted trees are strong baselines; DL is not always better</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[2]–[4]</w:t>
            </w:r>
          </w:p>
        </w:tc>
        <w:tc>
          <w:tcPr>
            <w:tcW w:w="37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Honest DL vs. baseline comparison</w:t>
            </w:r>
          </w:p>
        </w:tc>
      </w:tr>
      <w:tr w:rsidR="001F4F82">
        <w:tblPrEx>
          <w:tblCellMar>
            <w:top w:w="0" w:type="dxa"/>
            <w:bottom w:w="0" w:type="dxa"/>
          </w:tblCellMar>
        </w:tblPrEx>
        <w:trPr>
          <w:cantSplit/>
        </w:trPr>
        <w:tc>
          <w:tcPr>
            <w:tcW w:w="1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Text models</w:t>
            </w:r>
          </w:p>
        </w:tc>
        <w:tc>
          <w:tcPr>
            <w:tcW w:w="3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 xml:space="preserve">Contextual and multilingual </w:t>
            </w:r>
            <w:proofErr w:type="spellStart"/>
            <w:r>
              <w:rPr>
                <w:color w:val="1F2937"/>
                <w:sz w:val="19"/>
                <w:szCs w:val="19"/>
              </w:rPr>
              <w:t>embeddings</w:t>
            </w:r>
            <w:proofErr w:type="spellEnd"/>
            <w:r>
              <w:rPr>
                <w:color w:val="1F2937"/>
                <w:sz w:val="19"/>
                <w:szCs w:val="19"/>
              </w:rPr>
              <w:t xml:space="preserve"> beat bag-of-words</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[5]–[8]</w:t>
            </w:r>
          </w:p>
        </w:tc>
        <w:tc>
          <w:tcPr>
            <w:tcW w:w="37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 xml:space="preserve">TF-IDF baseline vs. </w:t>
            </w:r>
            <w:proofErr w:type="spellStart"/>
            <w:r>
              <w:rPr>
                <w:color w:val="1F2937"/>
                <w:sz w:val="19"/>
                <w:szCs w:val="19"/>
              </w:rPr>
              <w:t>embeddings</w:t>
            </w:r>
            <w:proofErr w:type="spellEnd"/>
          </w:p>
        </w:tc>
      </w:tr>
      <w:tr w:rsidR="001F4F82">
        <w:tblPrEx>
          <w:tblCellMar>
            <w:top w:w="0" w:type="dxa"/>
            <w:bottom w:w="0" w:type="dxa"/>
          </w:tblCellMar>
        </w:tblPrEx>
        <w:trPr>
          <w:cantSplit/>
        </w:trPr>
        <w:tc>
          <w:tcPr>
            <w:tcW w:w="1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Content-based recs</w:t>
            </w:r>
          </w:p>
        </w:tc>
        <w:tc>
          <w:tcPr>
            <w:tcW w:w="3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Works without user history</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[9]</w:t>
            </w:r>
          </w:p>
        </w:tc>
        <w:tc>
          <w:tcPr>
            <w:tcW w:w="37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Similarity + budget filter</w:t>
            </w:r>
          </w:p>
        </w:tc>
      </w:tr>
      <w:tr w:rsidR="001F4F82">
        <w:tblPrEx>
          <w:tblCellMar>
            <w:top w:w="0" w:type="dxa"/>
            <w:bottom w:w="0" w:type="dxa"/>
          </w:tblCellMar>
        </w:tblPrEx>
        <w:trPr>
          <w:cantSplit/>
        </w:trPr>
        <w:tc>
          <w:tcPr>
            <w:tcW w:w="1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RAG and tools</w:t>
            </w:r>
          </w:p>
        </w:tc>
        <w:tc>
          <w:tcPr>
            <w:tcW w:w="3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Retrieval grounds answers; tools add facts</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[10]–[13]</w:t>
            </w:r>
          </w:p>
        </w:tc>
        <w:tc>
          <w:tcPr>
            <w:tcW w:w="37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Grounded assistant calling the price model</w:t>
            </w:r>
          </w:p>
        </w:tc>
      </w:tr>
    </w:tbl>
    <w:p w:rsidR="001F4F82" w:rsidRDefault="001F4F82">
      <w:pPr>
        <w:spacing w:after="60"/>
      </w:pPr>
    </w:p>
    <w:p w:rsidR="001F4F82" w:rsidRDefault="00073893">
      <w:pPr>
        <w:pStyle w:val="2"/>
        <w:keepNext/>
        <w:pBdr>
          <w:bottom w:val="single" w:sz="4" w:space="2" w:color="5EEAD4"/>
        </w:pBdr>
        <w:spacing w:before="240" w:after="100"/>
      </w:pPr>
      <w:r>
        <w:rPr>
          <w:color w:val="0F766E"/>
        </w:rPr>
        <w:t>1.7  Gap addressed by this project</w:t>
      </w:r>
    </w:p>
    <w:p w:rsidR="001F4F82" w:rsidRDefault="00073893">
      <w:pPr>
        <w:spacing w:after="120" w:line="300" w:lineRule="auto"/>
      </w:pPr>
      <w:r>
        <w:rPr>
          <w:color w:val="1F2937"/>
        </w:rPr>
        <w:t xml:space="preserve">The reviewed work is mostly built on English text and on large, clean catalogues. Within the scope of this review we did not find a documented, reproducible pipeline for Egyptian marketplace listings that are free text, mixed Arabic and English, and full </w:t>
      </w:r>
      <w:r>
        <w:rPr>
          <w:color w:val="1F2937"/>
        </w:rPr>
        <w:t>of wanted-ads, accessories and bundles. Our contribution is an end-to-end pipeline for that setting, with data cleaning, a fairly evaluated price model, a recommender and a grounded assistant.</w:t>
      </w:r>
    </w:p>
    <w:p w:rsidR="001F4F82" w:rsidRDefault="00073893">
      <w:pPr>
        <w:pStyle w:val="2"/>
        <w:keepNext/>
        <w:pBdr>
          <w:bottom w:val="single" w:sz="4" w:space="2" w:color="5EEAD4"/>
        </w:pBdr>
        <w:spacing w:before="240" w:after="100"/>
      </w:pPr>
      <w:r>
        <w:rPr>
          <w:color w:val="0F766E"/>
        </w:rPr>
        <w:t>1.8  References</w:t>
      </w:r>
    </w:p>
    <w:p w:rsidR="001F4F82" w:rsidRDefault="00073893">
      <w:pPr>
        <w:tabs>
          <w:tab w:val="left" w:pos="500"/>
        </w:tabs>
        <w:spacing w:after="60" w:line="260" w:lineRule="auto"/>
        <w:ind w:left="500" w:hanging="500"/>
      </w:pPr>
      <w:r>
        <w:rPr>
          <w:b/>
          <w:bCs/>
          <w:color w:val="0F766E"/>
          <w:sz w:val="18"/>
          <w:szCs w:val="18"/>
        </w:rPr>
        <w:t>[1]</w:t>
      </w:r>
      <w:r>
        <w:rPr>
          <w:color w:val="1F2937"/>
          <w:sz w:val="18"/>
          <w:szCs w:val="18"/>
        </w:rPr>
        <w:tab/>
        <w:t>H. S. Rosen, “Hedonic prices and implicit m</w:t>
      </w:r>
      <w:r>
        <w:rPr>
          <w:color w:val="1F2937"/>
          <w:sz w:val="18"/>
          <w:szCs w:val="18"/>
        </w:rPr>
        <w:t>arkets: product differentiation in pure competition,” Journal of Political Economy, vol. 82, no. 1, pp. 34–55, 1974.</w:t>
      </w:r>
    </w:p>
    <w:p w:rsidR="001F4F82" w:rsidRDefault="00073893">
      <w:pPr>
        <w:tabs>
          <w:tab w:val="left" w:pos="500"/>
        </w:tabs>
        <w:spacing w:after="60" w:line="260" w:lineRule="auto"/>
        <w:ind w:left="500" w:hanging="500"/>
      </w:pPr>
      <w:r>
        <w:rPr>
          <w:b/>
          <w:bCs/>
          <w:color w:val="0F766E"/>
          <w:sz w:val="18"/>
          <w:szCs w:val="18"/>
        </w:rPr>
        <w:t>[2]</w:t>
      </w:r>
      <w:r>
        <w:rPr>
          <w:color w:val="1F2937"/>
          <w:sz w:val="18"/>
          <w:szCs w:val="18"/>
        </w:rPr>
        <w:tab/>
        <w:t xml:space="preserve">T. Chen and C. </w:t>
      </w:r>
      <w:proofErr w:type="spellStart"/>
      <w:r>
        <w:rPr>
          <w:color w:val="1F2937"/>
          <w:sz w:val="18"/>
          <w:szCs w:val="18"/>
        </w:rPr>
        <w:t>Guestrin</w:t>
      </w:r>
      <w:proofErr w:type="spellEnd"/>
      <w:r>
        <w:rPr>
          <w:color w:val="1F2937"/>
          <w:sz w:val="18"/>
          <w:szCs w:val="18"/>
        </w:rPr>
        <w:t>, “</w:t>
      </w:r>
      <w:proofErr w:type="spellStart"/>
      <w:r>
        <w:rPr>
          <w:color w:val="1F2937"/>
          <w:sz w:val="18"/>
          <w:szCs w:val="18"/>
        </w:rPr>
        <w:t>XGBoost</w:t>
      </w:r>
      <w:proofErr w:type="spellEnd"/>
      <w:r>
        <w:rPr>
          <w:color w:val="1F2937"/>
          <w:sz w:val="18"/>
          <w:szCs w:val="18"/>
        </w:rPr>
        <w:t>: a scalable tree boosting system,” in Proc. ACM SIGKDD, 2016.</w:t>
      </w:r>
    </w:p>
    <w:p w:rsidR="001F4F82" w:rsidRDefault="00073893">
      <w:pPr>
        <w:tabs>
          <w:tab w:val="left" w:pos="500"/>
        </w:tabs>
        <w:spacing w:after="60" w:line="260" w:lineRule="auto"/>
        <w:ind w:left="500" w:hanging="500"/>
      </w:pPr>
      <w:r>
        <w:rPr>
          <w:b/>
          <w:bCs/>
          <w:color w:val="0F766E"/>
          <w:sz w:val="18"/>
          <w:szCs w:val="18"/>
        </w:rPr>
        <w:t>[3]</w:t>
      </w:r>
      <w:r>
        <w:rPr>
          <w:color w:val="1F2937"/>
          <w:sz w:val="18"/>
          <w:szCs w:val="18"/>
        </w:rPr>
        <w:tab/>
        <w:t xml:space="preserve">L. </w:t>
      </w:r>
      <w:proofErr w:type="spellStart"/>
      <w:r>
        <w:rPr>
          <w:color w:val="1F2937"/>
          <w:sz w:val="18"/>
          <w:szCs w:val="18"/>
        </w:rPr>
        <w:t>Grinsztajn</w:t>
      </w:r>
      <w:proofErr w:type="spellEnd"/>
      <w:r>
        <w:rPr>
          <w:color w:val="1F2937"/>
          <w:sz w:val="18"/>
          <w:szCs w:val="18"/>
        </w:rPr>
        <w:t xml:space="preserve">, E. </w:t>
      </w:r>
      <w:proofErr w:type="spellStart"/>
      <w:r>
        <w:rPr>
          <w:color w:val="1F2937"/>
          <w:sz w:val="18"/>
          <w:szCs w:val="18"/>
        </w:rPr>
        <w:t>Oyallon</w:t>
      </w:r>
      <w:proofErr w:type="spellEnd"/>
      <w:r>
        <w:rPr>
          <w:color w:val="1F2937"/>
          <w:sz w:val="18"/>
          <w:szCs w:val="18"/>
        </w:rPr>
        <w:t xml:space="preserve"> and G. </w:t>
      </w:r>
      <w:proofErr w:type="spellStart"/>
      <w:r>
        <w:rPr>
          <w:color w:val="1F2937"/>
          <w:sz w:val="18"/>
          <w:szCs w:val="18"/>
        </w:rPr>
        <w:t>Va</w:t>
      </w:r>
      <w:r>
        <w:rPr>
          <w:color w:val="1F2937"/>
          <w:sz w:val="18"/>
          <w:szCs w:val="18"/>
        </w:rPr>
        <w:t>roquaux</w:t>
      </w:r>
      <w:proofErr w:type="spellEnd"/>
      <w:r>
        <w:rPr>
          <w:color w:val="1F2937"/>
          <w:sz w:val="18"/>
          <w:szCs w:val="18"/>
        </w:rPr>
        <w:t xml:space="preserve">, “Why do tree-based models still outperform deep learning on typical tabular data?,” in </w:t>
      </w:r>
      <w:proofErr w:type="spellStart"/>
      <w:r>
        <w:rPr>
          <w:color w:val="1F2937"/>
          <w:sz w:val="18"/>
          <w:szCs w:val="18"/>
        </w:rPr>
        <w:t>NeurIPS</w:t>
      </w:r>
      <w:proofErr w:type="spellEnd"/>
      <w:r>
        <w:rPr>
          <w:color w:val="1F2937"/>
          <w:sz w:val="18"/>
          <w:szCs w:val="18"/>
        </w:rPr>
        <w:t xml:space="preserve"> Datasets and Benchmarks, 2022.</w:t>
      </w:r>
    </w:p>
    <w:p w:rsidR="001F4F82" w:rsidRDefault="00073893">
      <w:pPr>
        <w:tabs>
          <w:tab w:val="left" w:pos="500"/>
        </w:tabs>
        <w:spacing w:after="60" w:line="260" w:lineRule="auto"/>
        <w:ind w:left="500" w:hanging="500"/>
      </w:pPr>
      <w:r>
        <w:rPr>
          <w:b/>
          <w:bCs/>
          <w:color w:val="0F766E"/>
          <w:sz w:val="18"/>
          <w:szCs w:val="18"/>
        </w:rPr>
        <w:t>[4]</w:t>
      </w:r>
      <w:r>
        <w:rPr>
          <w:color w:val="1F2937"/>
          <w:sz w:val="18"/>
          <w:szCs w:val="18"/>
        </w:rPr>
        <w:tab/>
        <w:t xml:space="preserve">R. </w:t>
      </w:r>
      <w:proofErr w:type="spellStart"/>
      <w:r>
        <w:rPr>
          <w:color w:val="1F2937"/>
          <w:sz w:val="18"/>
          <w:szCs w:val="18"/>
        </w:rPr>
        <w:t>Shwartz-Ziv</w:t>
      </w:r>
      <w:proofErr w:type="spellEnd"/>
      <w:r>
        <w:rPr>
          <w:color w:val="1F2937"/>
          <w:sz w:val="18"/>
          <w:szCs w:val="18"/>
        </w:rPr>
        <w:t xml:space="preserve"> and A. </w:t>
      </w:r>
      <w:proofErr w:type="spellStart"/>
      <w:r>
        <w:rPr>
          <w:color w:val="1F2937"/>
          <w:sz w:val="18"/>
          <w:szCs w:val="18"/>
        </w:rPr>
        <w:t>Armon</w:t>
      </w:r>
      <w:proofErr w:type="spellEnd"/>
      <w:r>
        <w:rPr>
          <w:color w:val="1F2937"/>
          <w:sz w:val="18"/>
          <w:szCs w:val="18"/>
        </w:rPr>
        <w:t>, “Tabular data: deep learning is not all you need,” Information Fusion, vol. 81, 2022.</w:t>
      </w:r>
    </w:p>
    <w:p w:rsidR="001F4F82" w:rsidRDefault="00073893">
      <w:pPr>
        <w:tabs>
          <w:tab w:val="left" w:pos="500"/>
        </w:tabs>
        <w:spacing w:after="60" w:line="260" w:lineRule="auto"/>
        <w:ind w:left="500" w:hanging="500"/>
      </w:pPr>
      <w:r>
        <w:rPr>
          <w:b/>
          <w:bCs/>
          <w:color w:val="0F766E"/>
          <w:sz w:val="18"/>
          <w:szCs w:val="18"/>
        </w:rPr>
        <w:t>[5]</w:t>
      </w:r>
      <w:r>
        <w:rPr>
          <w:color w:val="1F2937"/>
          <w:sz w:val="18"/>
          <w:szCs w:val="18"/>
        </w:rPr>
        <w:tab/>
        <w:t xml:space="preserve">J. Devlin, M.-W. Chang, K. Lee and K. </w:t>
      </w:r>
      <w:proofErr w:type="spellStart"/>
      <w:r>
        <w:rPr>
          <w:color w:val="1F2937"/>
          <w:sz w:val="18"/>
          <w:szCs w:val="18"/>
        </w:rPr>
        <w:t>Toutanova</w:t>
      </w:r>
      <w:proofErr w:type="spellEnd"/>
      <w:r>
        <w:rPr>
          <w:color w:val="1F2937"/>
          <w:sz w:val="18"/>
          <w:szCs w:val="18"/>
        </w:rPr>
        <w:t>, “BERT: pre-training of deep bidirectional transformers for language understanding,” in Proc. NAACL-HLT, 2019.</w:t>
      </w:r>
    </w:p>
    <w:p w:rsidR="001F4F82" w:rsidRDefault="00073893">
      <w:pPr>
        <w:tabs>
          <w:tab w:val="left" w:pos="500"/>
        </w:tabs>
        <w:spacing w:after="60" w:line="260" w:lineRule="auto"/>
        <w:ind w:left="500" w:hanging="500"/>
      </w:pPr>
      <w:r>
        <w:rPr>
          <w:b/>
          <w:bCs/>
          <w:color w:val="0F766E"/>
          <w:sz w:val="18"/>
          <w:szCs w:val="18"/>
        </w:rPr>
        <w:t>[6]</w:t>
      </w:r>
      <w:r>
        <w:rPr>
          <w:color w:val="1F2937"/>
          <w:sz w:val="18"/>
          <w:szCs w:val="18"/>
        </w:rPr>
        <w:tab/>
        <w:t xml:space="preserve">A. </w:t>
      </w:r>
      <w:proofErr w:type="spellStart"/>
      <w:r>
        <w:rPr>
          <w:color w:val="1F2937"/>
          <w:sz w:val="18"/>
          <w:szCs w:val="18"/>
        </w:rPr>
        <w:t>Conneau</w:t>
      </w:r>
      <w:proofErr w:type="spellEnd"/>
      <w:r>
        <w:rPr>
          <w:color w:val="1F2937"/>
          <w:sz w:val="18"/>
          <w:szCs w:val="18"/>
        </w:rPr>
        <w:t xml:space="preserve"> et al., “Unsupervised cross-lingual representation learning at scale,” in Proc</w:t>
      </w:r>
      <w:r>
        <w:rPr>
          <w:color w:val="1F2937"/>
          <w:sz w:val="18"/>
          <w:szCs w:val="18"/>
        </w:rPr>
        <w:t>. ACL, 2020.</w:t>
      </w:r>
    </w:p>
    <w:p w:rsidR="001F4F82" w:rsidRDefault="00073893">
      <w:pPr>
        <w:tabs>
          <w:tab w:val="left" w:pos="500"/>
        </w:tabs>
        <w:spacing w:after="60" w:line="260" w:lineRule="auto"/>
        <w:ind w:left="500" w:hanging="500"/>
      </w:pPr>
      <w:r>
        <w:rPr>
          <w:b/>
          <w:bCs/>
          <w:color w:val="0F766E"/>
          <w:sz w:val="18"/>
          <w:szCs w:val="18"/>
        </w:rPr>
        <w:t>[7]</w:t>
      </w:r>
      <w:r>
        <w:rPr>
          <w:color w:val="1F2937"/>
          <w:sz w:val="18"/>
          <w:szCs w:val="18"/>
        </w:rPr>
        <w:tab/>
        <w:t xml:space="preserve">W. </w:t>
      </w:r>
      <w:proofErr w:type="spellStart"/>
      <w:r>
        <w:rPr>
          <w:color w:val="1F2937"/>
          <w:sz w:val="18"/>
          <w:szCs w:val="18"/>
        </w:rPr>
        <w:t>Antoun</w:t>
      </w:r>
      <w:proofErr w:type="spellEnd"/>
      <w:r>
        <w:rPr>
          <w:color w:val="1F2937"/>
          <w:sz w:val="18"/>
          <w:szCs w:val="18"/>
        </w:rPr>
        <w:t xml:space="preserve">, F. </w:t>
      </w:r>
      <w:proofErr w:type="spellStart"/>
      <w:r>
        <w:rPr>
          <w:color w:val="1F2937"/>
          <w:sz w:val="18"/>
          <w:szCs w:val="18"/>
        </w:rPr>
        <w:t>Baly</w:t>
      </w:r>
      <w:proofErr w:type="spellEnd"/>
      <w:r>
        <w:rPr>
          <w:color w:val="1F2937"/>
          <w:sz w:val="18"/>
          <w:szCs w:val="18"/>
        </w:rPr>
        <w:t xml:space="preserve"> and H. Hajj, “</w:t>
      </w:r>
      <w:proofErr w:type="spellStart"/>
      <w:r>
        <w:rPr>
          <w:color w:val="1F2937"/>
          <w:sz w:val="18"/>
          <w:szCs w:val="18"/>
        </w:rPr>
        <w:t>AraBERT</w:t>
      </w:r>
      <w:proofErr w:type="spellEnd"/>
      <w:r>
        <w:rPr>
          <w:color w:val="1F2937"/>
          <w:sz w:val="18"/>
          <w:szCs w:val="18"/>
        </w:rPr>
        <w:t>: transformer-based model for Arabic language understanding,” in Proc. OSACT workshop (LREC), 2020.</w:t>
      </w:r>
    </w:p>
    <w:p w:rsidR="001F4F82" w:rsidRDefault="00073893">
      <w:pPr>
        <w:tabs>
          <w:tab w:val="left" w:pos="500"/>
        </w:tabs>
        <w:spacing w:after="60" w:line="260" w:lineRule="auto"/>
        <w:ind w:left="500" w:hanging="500"/>
      </w:pPr>
      <w:r>
        <w:rPr>
          <w:b/>
          <w:bCs/>
          <w:color w:val="0F766E"/>
          <w:sz w:val="18"/>
          <w:szCs w:val="18"/>
        </w:rPr>
        <w:t>[8]</w:t>
      </w:r>
      <w:r>
        <w:rPr>
          <w:color w:val="1F2937"/>
          <w:sz w:val="18"/>
          <w:szCs w:val="18"/>
        </w:rPr>
        <w:tab/>
        <w:t xml:space="preserve">N. </w:t>
      </w:r>
      <w:proofErr w:type="spellStart"/>
      <w:r>
        <w:rPr>
          <w:color w:val="1F2937"/>
          <w:sz w:val="18"/>
          <w:szCs w:val="18"/>
        </w:rPr>
        <w:t>Reimers</w:t>
      </w:r>
      <w:proofErr w:type="spellEnd"/>
      <w:r>
        <w:rPr>
          <w:color w:val="1F2937"/>
          <w:sz w:val="18"/>
          <w:szCs w:val="18"/>
        </w:rPr>
        <w:t xml:space="preserve"> and I. </w:t>
      </w:r>
      <w:proofErr w:type="spellStart"/>
      <w:r>
        <w:rPr>
          <w:color w:val="1F2937"/>
          <w:sz w:val="18"/>
          <w:szCs w:val="18"/>
        </w:rPr>
        <w:t>Gurevych</w:t>
      </w:r>
      <w:proofErr w:type="spellEnd"/>
      <w:r>
        <w:rPr>
          <w:color w:val="1F2937"/>
          <w:sz w:val="18"/>
          <w:szCs w:val="18"/>
        </w:rPr>
        <w:t xml:space="preserve">, “Sentence-BERT: sentence </w:t>
      </w:r>
      <w:proofErr w:type="spellStart"/>
      <w:r>
        <w:rPr>
          <w:color w:val="1F2937"/>
          <w:sz w:val="18"/>
          <w:szCs w:val="18"/>
        </w:rPr>
        <w:t>embeddings</w:t>
      </w:r>
      <w:proofErr w:type="spellEnd"/>
      <w:r>
        <w:rPr>
          <w:color w:val="1F2937"/>
          <w:sz w:val="18"/>
          <w:szCs w:val="18"/>
        </w:rPr>
        <w:t xml:space="preserve"> using Siamese BERT-networks,” in Proc. EMNLP-IJCNLP, 2019.</w:t>
      </w:r>
    </w:p>
    <w:p w:rsidR="001F4F82" w:rsidRDefault="00073893">
      <w:pPr>
        <w:tabs>
          <w:tab w:val="left" w:pos="500"/>
        </w:tabs>
        <w:spacing w:after="60" w:line="260" w:lineRule="auto"/>
        <w:ind w:left="500" w:hanging="500"/>
      </w:pPr>
      <w:r>
        <w:rPr>
          <w:b/>
          <w:bCs/>
          <w:color w:val="0F766E"/>
          <w:sz w:val="18"/>
          <w:szCs w:val="18"/>
        </w:rPr>
        <w:t>[9]</w:t>
      </w:r>
      <w:r>
        <w:rPr>
          <w:color w:val="1F2937"/>
          <w:sz w:val="18"/>
          <w:szCs w:val="18"/>
        </w:rPr>
        <w:tab/>
        <w:t xml:space="preserve">P. Lops, M. de </w:t>
      </w:r>
      <w:proofErr w:type="spellStart"/>
      <w:r>
        <w:rPr>
          <w:color w:val="1F2937"/>
          <w:sz w:val="18"/>
          <w:szCs w:val="18"/>
        </w:rPr>
        <w:t>Gemmis</w:t>
      </w:r>
      <w:proofErr w:type="spellEnd"/>
      <w:r>
        <w:rPr>
          <w:color w:val="1F2937"/>
          <w:sz w:val="18"/>
          <w:szCs w:val="18"/>
        </w:rPr>
        <w:t xml:space="preserve"> and G. </w:t>
      </w:r>
      <w:proofErr w:type="spellStart"/>
      <w:r>
        <w:rPr>
          <w:color w:val="1F2937"/>
          <w:sz w:val="18"/>
          <w:szCs w:val="18"/>
        </w:rPr>
        <w:t>Semeraro</w:t>
      </w:r>
      <w:proofErr w:type="spellEnd"/>
      <w:r>
        <w:rPr>
          <w:color w:val="1F2937"/>
          <w:sz w:val="18"/>
          <w:szCs w:val="18"/>
        </w:rPr>
        <w:t xml:space="preserve">, “Content-based recommender systems: state of the art and trends,” in Recommender Systems </w:t>
      </w:r>
      <w:r>
        <w:rPr>
          <w:color w:val="1F2937"/>
          <w:sz w:val="18"/>
          <w:szCs w:val="18"/>
        </w:rPr>
        <w:t>Handbook, Springer, 2011.</w:t>
      </w:r>
    </w:p>
    <w:p w:rsidR="001F4F82" w:rsidRDefault="00073893">
      <w:pPr>
        <w:tabs>
          <w:tab w:val="left" w:pos="500"/>
        </w:tabs>
        <w:spacing w:after="60" w:line="260" w:lineRule="auto"/>
        <w:ind w:left="500" w:hanging="500"/>
      </w:pPr>
      <w:r>
        <w:rPr>
          <w:b/>
          <w:bCs/>
          <w:color w:val="0F766E"/>
          <w:sz w:val="18"/>
          <w:szCs w:val="18"/>
        </w:rPr>
        <w:t>[10]</w:t>
      </w:r>
      <w:r>
        <w:rPr>
          <w:color w:val="1F2937"/>
          <w:sz w:val="18"/>
          <w:szCs w:val="18"/>
        </w:rPr>
        <w:tab/>
        <w:t xml:space="preserve">P. Lewis et al., “Retrieval-augmented generation for knowledge-intensive NLP tasks,” in </w:t>
      </w:r>
      <w:proofErr w:type="spellStart"/>
      <w:r>
        <w:rPr>
          <w:color w:val="1F2937"/>
          <w:sz w:val="18"/>
          <w:szCs w:val="18"/>
        </w:rPr>
        <w:t>NeurIPS</w:t>
      </w:r>
      <w:proofErr w:type="spellEnd"/>
      <w:r>
        <w:rPr>
          <w:color w:val="1F2937"/>
          <w:sz w:val="18"/>
          <w:szCs w:val="18"/>
        </w:rPr>
        <w:t>, 2020.</w:t>
      </w:r>
    </w:p>
    <w:p w:rsidR="001F4F82" w:rsidRDefault="00073893">
      <w:pPr>
        <w:tabs>
          <w:tab w:val="left" w:pos="500"/>
        </w:tabs>
        <w:spacing w:after="60" w:line="260" w:lineRule="auto"/>
        <w:ind w:left="500" w:hanging="500"/>
      </w:pPr>
      <w:r>
        <w:rPr>
          <w:b/>
          <w:bCs/>
          <w:color w:val="0F766E"/>
          <w:sz w:val="18"/>
          <w:szCs w:val="18"/>
        </w:rPr>
        <w:t>[11]</w:t>
      </w:r>
      <w:r>
        <w:rPr>
          <w:color w:val="1F2937"/>
          <w:sz w:val="18"/>
          <w:szCs w:val="18"/>
        </w:rPr>
        <w:tab/>
        <w:t xml:space="preserve">V. </w:t>
      </w:r>
      <w:proofErr w:type="spellStart"/>
      <w:r>
        <w:rPr>
          <w:color w:val="1F2937"/>
          <w:sz w:val="18"/>
          <w:szCs w:val="18"/>
        </w:rPr>
        <w:t>Karpukhin</w:t>
      </w:r>
      <w:proofErr w:type="spellEnd"/>
      <w:r>
        <w:rPr>
          <w:color w:val="1F2937"/>
          <w:sz w:val="18"/>
          <w:szCs w:val="18"/>
        </w:rPr>
        <w:t xml:space="preserve"> et al., “Dense passage retrieval for open-domain question answering,” in Proc. EMNLP, 2020.</w:t>
      </w:r>
    </w:p>
    <w:p w:rsidR="001F4F82" w:rsidRDefault="00073893">
      <w:pPr>
        <w:tabs>
          <w:tab w:val="left" w:pos="500"/>
        </w:tabs>
        <w:spacing w:after="60" w:line="260" w:lineRule="auto"/>
        <w:ind w:left="500" w:hanging="500"/>
      </w:pPr>
      <w:r>
        <w:rPr>
          <w:b/>
          <w:bCs/>
          <w:color w:val="0F766E"/>
          <w:sz w:val="18"/>
          <w:szCs w:val="18"/>
        </w:rPr>
        <w:t>[12]</w:t>
      </w:r>
      <w:r>
        <w:rPr>
          <w:color w:val="1F2937"/>
          <w:sz w:val="18"/>
          <w:szCs w:val="18"/>
        </w:rPr>
        <w:tab/>
        <w:t xml:space="preserve">S. Yao </w:t>
      </w:r>
      <w:r>
        <w:rPr>
          <w:color w:val="1F2937"/>
          <w:sz w:val="18"/>
          <w:szCs w:val="18"/>
        </w:rPr>
        <w:t>et al., “</w:t>
      </w:r>
      <w:proofErr w:type="spellStart"/>
      <w:r>
        <w:rPr>
          <w:color w:val="1F2937"/>
          <w:sz w:val="18"/>
          <w:szCs w:val="18"/>
        </w:rPr>
        <w:t>ReAct</w:t>
      </w:r>
      <w:proofErr w:type="spellEnd"/>
      <w:r>
        <w:rPr>
          <w:color w:val="1F2937"/>
          <w:sz w:val="18"/>
          <w:szCs w:val="18"/>
        </w:rPr>
        <w:t>: synergizing reasoning and acting in language models,” in ICLR, 2023.</w:t>
      </w:r>
    </w:p>
    <w:p w:rsidR="001F4F82" w:rsidRDefault="00073893">
      <w:pPr>
        <w:tabs>
          <w:tab w:val="left" w:pos="500"/>
        </w:tabs>
        <w:spacing w:after="60" w:line="260" w:lineRule="auto"/>
        <w:ind w:left="500" w:hanging="500"/>
      </w:pPr>
      <w:r>
        <w:rPr>
          <w:b/>
          <w:bCs/>
          <w:color w:val="0F766E"/>
          <w:sz w:val="18"/>
          <w:szCs w:val="18"/>
        </w:rPr>
        <w:t>[13]</w:t>
      </w:r>
      <w:r>
        <w:rPr>
          <w:color w:val="1F2937"/>
          <w:sz w:val="18"/>
          <w:szCs w:val="18"/>
        </w:rPr>
        <w:tab/>
        <w:t>T. Schick et al., “</w:t>
      </w:r>
      <w:proofErr w:type="spellStart"/>
      <w:r>
        <w:rPr>
          <w:color w:val="1F2937"/>
          <w:sz w:val="18"/>
          <w:szCs w:val="18"/>
        </w:rPr>
        <w:t>Toolformer</w:t>
      </w:r>
      <w:proofErr w:type="spellEnd"/>
      <w:r>
        <w:rPr>
          <w:color w:val="1F2937"/>
          <w:sz w:val="18"/>
          <w:szCs w:val="18"/>
        </w:rPr>
        <w:t xml:space="preserve">: language models can teach themselves to use tools,” in </w:t>
      </w:r>
      <w:proofErr w:type="spellStart"/>
      <w:r>
        <w:rPr>
          <w:color w:val="1F2937"/>
          <w:sz w:val="18"/>
          <w:szCs w:val="18"/>
        </w:rPr>
        <w:t>NeurIPS</w:t>
      </w:r>
      <w:proofErr w:type="spellEnd"/>
      <w:r>
        <w:rPr>
          <w:color w:val="1F2937"/>
          <w:sz w:val="18"/>
          <w:szCs w:val="18"/>
        </w:rPr>
        <w:t>, 2023.</w:t>
      </w:r>
    </w:p>
    <w:p w:rsidR="001F4F82" w:rsidRDefault="00073893">
      <w:pPr>
        <w:spacing w:before="60" w:after="120" w:line="300" w:lineRule="auto"/>
      </w:pPr>
      <w:r>
        <w:rPr>
          <w:i/>
          <w:iCs/>
          <w:color w:val="6B7280"/>
          <w:sz w:val="17"/>
          <w:szCs w:val="17"/>
        </w:rPr>
        <w:t>Note: please verify the final reference details (venue, year, pag</w:t>
      </w:r>
      <w:r>
        <w:rPr>
          <w:i/>
          <w:iCs/>
          <w:color w:val="6B7280"/>
          <w:sz w:val="17"/>
          <w:szCs w:val="17"/>
        </w:rPr>
        <w:t>es) before submission.</w:t>
      </w:r>
    </w:p>
    <w:p w:rsidR="001F4F82" w:rsidRDefault="001F4F82">
      <w:pPr>
        <w:pageBreakBefore/>
      </w:pPr>
    </w:p>
    <w:p w:rsidR="001F4F82" w:rsidRDefault="00073893">
      <w:pPr>
        <w:pStyle w:val="1"/>
        <w:keepNext/>
        <w:shd w:val="clear" w:color="auto" w:fill="0F766E"/>
        <w:spacing w:before="360" w:after="180"/>
      </w:pPr>
      <w:r>
        <w:rPr>
          <w:color w:val="FFFFFF"/>
        </w:rPr>
        <w:t xml:space="preserve">  2  Feedback &amp; Evaluation</w:t>
      </w:r>
    </w:p>
    <w:p w:rsidR="001F4F82" w:rsidRDefault="00073893">
      <w:pPr>
        <w:pStyle w:val="2"/>
        <w:keepNext/>
        <w:pBdr>
          <w:bottom w:val="single" w:sz="4" w:space="2" w:color="5EEAD4"/>
        </w:pBdr>
        <w:spacing w:before="240" w:after="100"/>
      </w:pPr>
      <w:r>
        <w:rPr>
          <w:color w:val="0F766E"/>
        </w:rPr>
        <w:t>2.1  Lecturer’s assessment</w:t>
      </w:r>
    </w:p>
    <w:p w:rsidR="001F4F82" w:rsidRDefault="00073893">
      <w:pPr>
        <w:spacing w:after="120" w:line="300" w:lineRule="auto"/>
      </w:pPr>
      <w:r>
        <w:rPr>
          <w:color w:val="1F2937"/>
        </w:rPr>
        <w:t xml:space="preserve">Feedback from the lecturer is collected at the official checkpoints of the plan (6 Nov: System Analysis &amp; Design, 30 Nov: working system, 4 Dec: final delivery). Each comment is </w:t>
      </w:r>
      <w:r>
        <w:rPr>
          <w:color w:val="1F2937"/>
        </w:rPr>
        <w:t>logged with the action we took, so that the final version shows how the feedback was applied.</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900"/>
        <w:gridCol w:w="2300"/>
        <w:gridCol w:w="1204"/>
      </w:tblGrid>
      <w:tr w:rsidR="001F4F82">
        <w:tblPrEx>
          <w:tblCellMar>
            <w:top w:w="0" w:type="dxa"/>
            <w:bottom w:w="0" w:type="dxa"/>
          </w:tblCellMar>
        </w:tblPrEx>
        <w:trPr>
          <w:cantSplit/>
          <w:tblHeader/>
        </w:trPr>
        <w:tc>
          <w:tcPr>
            <w:tcW w:w="15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Checkpoint</w:t>
            </w:r>
          </w:p>
        </w:tc>
        <w:tc>
          <w:tcPr>
            <w:tcW w:w="2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Area</w:t>
            </w:r>
          </w:p>
        </w:tc>
        <w:tc>
          <w:tcPr>
            <w:tcW w:w="29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Lecturer’s comment</w:t>
            </w:r>
          </w:p>
        </w:tc>
        <w:tc>
          <w:tcPr>
            <w:tcW w:w="23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Action taken</w:t>
            </w:r>
          </w:p>
        </w:tc>
        <w:tc>
          <w:tcPr>
            <w:tcW w:w="12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Status</w:t>
            </w:r>
          </w:p>
        </w:tc>
      </w:tr>
      <w:tr w:rsidR="001F4F82">
        <w:tblPrEx>
          <w:tblCellMar>
            <w:top w:w="0" w:type="dxa"/>
            <w:bottom w:w="0" w:type="dxa"/>
          </w:tblCellMar>
        </w:tblPrEx>
        <w:trPr>
          <w:cantSplit/>
        </w:trPr>
        <w:tc>
          <w:tcPr>
            <w:tcW w:w="15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6 Nov</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Analysis &amp; design</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To be added after review</w:t>
            </w:r>
          </w:p>
        </w:tc>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w:t>
            </w:r>
          </w:p>
        </w:tc>
        <w:tc>
          <w:tcPr>
            <w:tcW w:w="12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15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30 Nov</w:t>
            </w:r>
          </w:p>
        </w:tc>
        <w:tc>
          <w:tcPr>
            <w:tcW w:w="2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Implementation</w:t>
            </w:r>
          </w:p>
        </w:tc>
        <w:tc>
          <w:tcPr>
            <w:tcW w:w="2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To be added after review</w:t>
            </w:r>
          </w:p>
        </w:tc>
        <w:tc>
          <w:tcPr>
            <w:tcW w:w="2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w:t>
            </w:r>
          </w:p>
        </w:tc>
        <w:tc>
          <w:tcPr>
            <w:tcW w:w="12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15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4 Dec</w:t>
            </w:r>
          </w:p>
        </w:tc>
        <w:tc>
          <w:tcPr>
            <w:tcW w:w="2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Final delivery</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To be added after review</w:t>
            </w:r>
          </w:p>
        </w:tc>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w:t>
            </w:r>
          </w:p>
        </w:tc>
        <w:tc>
          <w:tcPr>
            <w:tcW w:w="12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bl>
    <w:p w:rsidR="001F4F82" w:rsidRDefault="001F4F82">
      <w:pPr>
        <w:spacing w:after="60"/>
      </w:pPr>
    </w:p>
    <w:p w:rsidR="001F4F82" w:rsidRDefault="00073893">
      <w:pPr>
        <w:pStyle w:val="2"/>
        <w:keepNext/>
        <w:pBdr>
          <w:bottom w:val="single" w:sz="4" w:space="2" w:color="5EEAD4"/>
        </w:pBdr>
        <w:spacing w:before="240" w:after="100"/>
      </w:pPr>
      <w:r>
        <w:rPr>
          <w:color w:val="0F766E"/>
        </w:rPr>
        <w:t>2.2  Team self-evaluation against the KPIs</w:t>
      </w:r>
    </w:p>
    <w:p w:rsidR="001F4F82" w:rsidRDefault="00073893">
      <w:pPr>
        <w:spacing w:after="120" w:line="300" w:lineRule="auto"/>
      </w:pPr>
      <w:r>
        <w:rPr>
          <w:color w:val="1F2937"/>
        </w:rPr>
        <w:t>The targets below come from Document 01. They are preliminary and the status is updated once each one is measured during testing.</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2700"/>
        <w:gridCol w:w="2204"/>
      </w:tblGrid>
      <w:tr w:rsidR="001F4F82">
        <w:tblPrEx>
          <w:tblCellMar>
            <w:top w:w="0" w:type="dxa"/>
            <w:bottom w:w="0" w:type="dxa"/>
          </w:tblCellMar>
        </w:tblPrEx>
        <w:trPr>
          <w:cantSplit/>
          <w:tblHeader/>
        </w:trPr>
        <w:tc>
          <w:tcPr>
            <w:tcW w:w="27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KPI</w:t>
            </w:r>
          </w:p>
        </w:tc>
        <w:tc>
          <w:tcPr>
            <w:tcW w:w="23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Target</w:t>
            </w:r>
          </w:p>
        </w:tc>
        <w:tc>
          <w:tcPr>
            <w:tcW w:w="27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Evidence</w:t>
            </w:r>
          </w:p>
        </w:tc>
        <w:tc>
          <w:tcPr>
            <w:tcW w:w="22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Status</w:t>
            </w:r>
          </w:p>
        </w:tc>
      </w:tr>
      <w:tr w:rsidR="001F4F82">
        <w:tblPrEx>
          <w:tblCellMar>
            <w:top w:w="0" w:type="dxa"/>
            <w:bottom w:w="0" w:type="dxa"/>
          </w:tblCellMar>
        </w:tblPrEx>
        <w:trPr>
          <w:cantSplit/>
        </w:trPr>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Price prediction</w:t>
            </w:r>
          </w:p>
        </w:tc>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Report MAE and MAPE (≤ 20% MAPE target)</w:t>
            </w:r>
          </w:p>
        </w:tc>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Held-out test set</w:t>
            </w:r>
          </w:p>
        </w:tc>
        <w:tc>
          <w:tcPr>
            <w:tcW w:w="22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2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Brand/model extraction</w:t>
            </w:r>
          </w:p>
        </w:tc>
        <w:tc>
          <w:tcPr>
            <w:tcW w:w="2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 90% accuracy</w:t>
            </w:r>
          </w:p>
        </w:tc>
        <w:tc>
          <w:tcPr>
            <w:tcW w:w="2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Manual review of 200 ads</w:t>
            </w:r>
          </w:p>
        </w:tc>
        <w:tc>
          <w:tcPr>
            <w:tcW w:w="22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Recommendation relevance</w:t>
            </w:r>
          </w:p>
        </w:tc>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 80% relevant in top 5</w:t>
            </w:r>
          </w:p>
        </w:tc>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Sample queries, manual check</w:t>
            </w:r>
          </w:p>
        </w:tc>
        <w:tc>
          <w:tcPr>
            <w:tcW w:w="22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2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RAG reliability</w:t>
            </w:r>
          </w:p>
        </w:tc>
        <w:tc>
          <w:tcPr>
            <w:tcW w:w="2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All cited ad IDs exist</w:t>
            </w:r>
          </w:p>
        </w:tc>
        <w:tc>
          <w:tcPr>
            <w:tcW w:w="2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Check IDs against dataset</w:t>
            </w:r>
          </w:p>
        </w:tc>
        <w:tc>
          <w:tcPr>
            <w:tcW w:w="22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r w:rsidR="001F4F82">
        <w:tblPrEx>
          <w:tblCellMar>
            <w:top w:w="0" w:type="dxa"/>
            <w:bottom w:w="0" w:type="dxa"/>
          </w:tblCellMar>
        </w:tblPrEx>
        <w:trPr>
          <w:cantSplit/>
        </w:trPr>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API response time</w:t>
            </w:r>
          </w:p>
        </w:tc>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&lt; 2 seconds</w:t>
            </w:r>
          </w:p>
        </w:tc>
        <w:tc>
          <w:tcPr>
            <w:tcW w:w="2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Timing during testing</w:t>
            </w:r>
          </w:p>
        </w:tc>
        <w:tc>
          <w:tcPr>
            <w:tcW w:w="22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Pending</w:t>
            </w:r>
          </w:p>
        </w:tc>
      </w:tr>
    </w:tbl>
    <w:p w:rsidR="001F4F82" w:rsidRDefault="001F4F82">
      <w:pPr>
        <w:spacing w:after="60"/>
      </w:pPr>
    </w:p>
    <w:p w:rsidR="001F4F82" w:rsidRDefault="00073893">
      <w:pPr>
        <w:pStyle w:val="2"/>
        <w:keepNext/>
        <w:pBdr>
          <w:bottom w:val="single" w:sz="4" w:space="2" w:color="5EEAD4"/>
        </w:pBdr>
        <w:spacing w:before="240" w:after="100"/>
      </w:pPr>
      <w:r>
        <w:rPr>
          <w:color w:val="0F766E"/>
        </w:rPr>
        <w:t>2.3  Evaluation approach</w:t>
      </w:r>
    </w:p>
    <w:p w:rsidR="001F4F82" w:rsidRDefault="00073893">
      <w:pPr>
        <w:pStyle w:val="a4"/>
        <w:numPr>
          <w:ilvl w:val="0"/>
          <w:numId w:val="2"/>
        </w:numPr>
        <w:spacing w:after="80" w:line="290" w:lineRule="auto"/>
      </w:pPr>
      <w:r>
        <w:rPr>
          <w:b/>
          <w:bCs/>
          <w:color w:val="1F2937"/>
        </w:rPr>
        <w:t>Fair comparison:</w:t>
      </w:r>
      <w:r>
        <w:rPr>
          <w:color w:val="1F2937"/>
        </w:rPr>
        <w:t xml:space="preserve"> all price models use the same cleaned dataset, the same test split and the same metrics.</w:t>
      </w:r>
    </w:p>
    <w:p w:rsidR="001F4F82" w:rsidRDefault="00073893">
      <w:pPr>
        <w:pStyle w:val="a4"/>
        <w:numPr>
          <w:ilvl w:val="0"/>
          <w:numId w:val="2"/>
        </w:numPr>
        <w:spacing w:after="80" w:line="290" w:lineRule="auto"/>
      </w:pPr>
      <w:r>
        <w:rPr>
          <w:b/>
          <w:bCs/>
          <w:color w:val="1F2937"/>
        </w:rPr>
        <w:t>No leakage:</w:t>
      </w:r>
      <w:r>
        <w:rPr>
          <w:color w:val="1F2937"/>
        </w:rPr>
        <w:t xml:space="preserve"> duplicate and near-duplicate ads are removed and, where dates exist, a time-based split is used.</w:t>
      </w:r>
    </w:p>
    <w:p w:rsidR="001F4F82" w:rsidRDefault="00073893">
      <w:pPr>
        <w:pStyle w:val="a4"/>
        <w:numPr>
          <w:ilvl w:val="0"/>
          <w:numId w:val="2"/>
        </w:numPr>
        <w:spacing w:after="80" w:line="290" w:lineRule="auto"/>
      </w:pPr>
      <w:r>
        <w:rPr>
          <w:b/>
          <w:bCs/>
          <w:color w:val="1F2937"/>
        </w:rPr>
        <w:t>Honest reporting:</w:t>
      </w:r>
      <w:r>
        <w:rPr>
          <w:color w:val="1F2937"/>
        </w:rPr>
        <w:t xml:space="preserve"> results are reported with their limits,</w:t>
      </w:r>
      <w:r>
        <w:rPr>
          <w:color w:val="1F2937"/>
        </w:rPr>
        <w:t xml:space="preserve"> including weak spots such as rare phone models.</w:t>
      </w:r>
    </w:p>
    <w:p w:rsidR="001F4F82" w:rsidRDefault="00073893">
      <w:pPr>
        <w:pStyle w:val="1"/>
        <w:keepNext/>
        <w:shd w:val="clear" w:color="auto" w:fill="0F766E"/>
        <w:spacing w:before="360" w:after="180"/>
      </w:pPr>
      <w:r>
        <w:rPr>
          <w:color w:val="FFFFFF"/>
        </w:rPr>
        <w:t xml:space="preserve">  3  Suggested Improvements</w:t>
      </w:r>
    </w:p>
    <w:p w:rsidR="001F4F82" w:rsidRDefault="00073893">
      <w:pPr>
        <w:spacing w:after="120" w:line="300" w:lineRule="auto"/>
      </w:pPr>
      <w:r>
        <w:rPr>
          <w:color w:val="1F2937"/>
        </w:rPr>
        <w:t>These are the areas where the project can be enhanced, based on the review and on the risks listed in Document 01. Priority shows what we would do first if time allows.</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2900"/>
        <w:gridCol w:w="1604"/>
      </w:tblGrid>
      <w:tr w:rsidR="001F4F82">
        <w:tblPrEx>
          <w:tblCellMar>
            <w:top w:w="0" w:type="dxa"/>
            <w:bottom w:w="0" w:type="dxa"/>
          </w:tblCellMar>
        </w:tblPrEx>
        <w:trPr>
          <w:cantSplit/>
          <w:tblHeader/>
        </w:trPr>
        <w:tc>
          <w:tcPr>
            <w:tcW w:w="17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Area</w:t>
            </w:r>
          </w:p>
        </w:tc>
        <w:tc>
          <w:tcPr>
            <w:tcW w:w="37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Suggested improvement</w:t>
            </w:r>
          </w:p>
        </w:tc>
        <w:tc>
          <w:tcPr>
            <w:tcW w:w="29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Expected benefit</w:t>
            </w:r>
          </w:p>
        </w:tc>
        <w:tc>
          <w:tcPr>
            <w:tcW w:w="16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Priority</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Data</w:t>
            </w:r>
          </w:p>
        </w:tc>
        <w:tc>
          <w:tcPr>
            <w:tcW w:w="3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Add more sources (e.g. Facebook Marketplace) and refresh the data regularly</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Better coverage and price freshness</w:t>
            </w:r>
          </w:p>
        </w:tc>
        <w:tc>
          <w:tcPr>
            <w:tcW w:w="16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Medium</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lastRenderedPageBreak/>
              <w:t>Data</w:t>
            </w:r>
          </w:p>
        </w:tc>
        <w:tc>
          <w:tcPr>
            <w:tcW w:w="3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 xml:space="preserve">Grow the manually checked “gold set” of </w:t>
            </w:r>
            <w:proofErr w:type="spellStart"/>
            <w:r>
              <w:rPr>
                <w:color w:val="1F2937"/>
                <w:sz w:val="19"/>
                <w:szCs w:val="19"/>
              </w:rPr>
              <w:t>labelled</w:t>
            </w:r>
            <w:proofErr w:type="spellEnd"/>
            <w:r>
              <w:rPr>
                <w:color w:val="1F2937"/>
                <w:sz w:val="19"/>
                <w:szCs w:val="19"/>
              </w:rPr>
              <w:t xml:space="preserve"> ads</w:t>
            </w:r>
          </w:p>
        </w:tc>
        <w:tc>
          <w:tcPr>
            <w:tcW w:w="2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More reliable extraction accuracy</w:t>
            </w:r>
          </w:p>
        </w:tc>
        <w:tc>
          <w:tcPr>
            <w:tcW w:w="16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High</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Price model</w:t>
            </w:r>
          </w:p>
        </w:tc>
        <w:tc>
          <w:tcPr>
            <w:tcW w:w="3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Add price ranges (prediction intervals) next to the single price</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Communicates uncertainty, helps rare models (R3)</w:t>
            </w:r>
          </w:p>
        </w:tc>
        <w:tc>
          <w:tcPr>
            <w:tcW w:w="16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High</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Price model</w:t>
            </w:r>
          </w:p>
        </w:tc>
        <w:tc>
          <w:tcPr>
            <w:tcW w:w="3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 xml:space="preserve">Try multilingual or Arabic </w:t>
            </w:r>
            <w:proofErr w:type="spellStart"/>
            <w:r>
              <w:rPr>
                <w:color w:val="1F2937"/>
                <w:sz w:val="19"/>
                <w:szCs w:val="19"/>
              </w:rPr>
              <w:t>embeddings</w:t>
            </w:r>
            <w:proofErr w:type="spellEnd"/>
            <w:r>
              <w:rPr>
                <w:color w:val="1F2937"/>
                <w:sz w:val="19"/>
                <w:szCs w:val="19"/>
              </w:rPr>
              <w:t xml:space="preserve"> and simple ensembles</w:t>
            </w:r>
          </w:p>
        </w:tc>
        <w:tc>
          <w:tcPr>
            <w:tcW w:w="2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Better use of listing text</w:t>
            </w:r>
          </w:p>
        </w:tc>
        <w:tc>
          <w:tcPr>
            <w:tcW w:w="16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Medium</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Recommender</w:t>
            </w:r>
          </w:p>
        </w:tc>
        <w:tc>
          <w:tcPr>
            <w:tcW w:w="3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Add a hybrid score (similarity + value for money) and result diversity</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More useful top-5 lists</w:t>
            </w:r>
          </w:p>
        </w:tc>
        <w:tc>
          <w:tcPr>
            <w:tcW w:w="16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Medium</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RAG assistant</w:t>
            </w:r>
          </w:p>
        </w:tc>
        <w:tc>
          <w:tcPr>
            <w:tcW w:w="3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Hybrid retrieval (keyword + dense) and re-ranking; automatic citation check</w:t>
            </w:r>
          </w:p>
        </w:tc>
        <w:tc>
          <w:tcPr>
            <w:tcW w:w="2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Fewer unsupported answers (R5)</w:t>
            </w:r>
          </w:p>
        </w:tc>
        <w:tc>
          <w:tcPr>
            <w:tcW w:w="16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High</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System</w:t>
            </w:r>
          </w:p>
        </w:tc>
        <w:tc>
          <w:tcPr>
            <w:tcW w:w="37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Caching, logging and basic monitoring of the API</w:t>
            </w:r>
          </w:p>
        </w:tc>
        <w:tc>
          <w:tcPr>
            <w:tcW w:w="29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Faster responses, easier debugging</w:t>
            </w:r>
          </w:p>
        </w:tc>
        <w:tc>
          <w:tcPr>
            <w:tcW w:w="16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Low</w:t>
            </w:r>
          </w:p>
        </w:tc>
      </w:tr>
      <w:tr w:rsidR="001F4F82">
        <w:tblPrEx>
          <w:tblCellMar>
            <w:top w:w="0" w:type="dxa"/>
            <w:bottom w:w="0" w:type="dxa"/>
          </w:tblCellMar>
        </w:tblPrEx>
        <w:trPr>
          <w:cantSplit/>
        </w:trPr>
        <w:tc>
          <w:tcPr>
            <w:tcW w:w="1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Interface</w:t>
            </w:r>
          </w:p>
        </w:tc>
        <w:tc>
          <w:tcPr>
            <w:tcW w:w="37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Show the “fair / high / low price” verdict with a short explanation</w:t>
            </w:r>
          </w:p>
        </w:tc>
        <w:tc>
          <w:tcPr>
            <w:tcW w:w="29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Clearer value for the user</w:t>
            </w:r>
          </w:p>
        </w:tc>
        <w:tc>
          <w:tcPr>
            <w:tcW w:w="16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Medium</w:t>
            </w:r>
          </w:p>
        </w:tc>
      </w:tr>
    </w:tbl>
    <w:p w:rsidR="001F4F82" w:rsidRDefault="001F4F82">
      <w:pPr>
        <w:spacing w:after="60"/>
      </w:pPr>
    </w:p>
    <w:tbl>
      <w:tblPr>
        <w:tblW w:w="9904"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1F4F82">
        <w:tblPrEx>
          <w:tblCellMar>
            <w:top w:w="0" w:type="dxa"/>
            <w:bottom w:w="0" w:type="dxa"/>
          </w:tblCellMar>
        </w:tblPrEx>
        <w:tc>
          <w:tcPr>
            <w:tcW w:w="9904" w:type="dxa"/>
            <w:tcBorders>
              <w:top w:val="none" w:sz="0" w:space="0" w:color="FFFFFF"/>
              <w:left w:val="single" w:sz="24" w:space="0" w:color="0F766E"/>
              <w:bottom w:val="none" w:sz="0" w:space="0" w:color="FFFFFF"/>
              <w:right w:val="none" w:sz="0" w:space="0" w:color="FFFFFF"/>
            </w:tcBorders>
            <w:shd w:val="clear" w:color="auto" w:fill="E6F6F4"/>
            <w:tcMar>
              <w:top w:w="120" w:type="dxa"/>
              <w:left w:w="220" w:type="dxa"/>
              <w:bottom w:w="120" w:type="dxa"/>
              <w:right w:w="200" w:type="dxa"/>
            </w:tcMar>
          </w:tcPr>
          <w:p w:rsidR="001F4F82" w:rsidRDefault="00073893">
            <w:pPr>
              <w:spacing w:after="40"/>
            </w:pPr>
            <w:r>
              <w:rPr>
                <w:b/>
                <w:bCs/>
                <w:color w:val="0F766E"/>
              </w:rPr>
              <w:t>Out of scope for now</w:t>
            </w:r>
          </w:p>
          <w:p w:rsidR="001F4F82" w:rsidRDefault="00073893">
            <w:pPr>
              <w:spacing w:line="280" w:lineRule="auto"/>
            </w:pPr>
            <w:r>
              <w:rPr>
                <w:color w:val="1F2937"/>
                <w:sz w:val="20"/>
                <w:szCs w:val="20"/>
              </w:rPr>
              <w:t>Production hosting, user accounts and collaborative filtering stay outside this delivery, as agreed in Document 01. They are listed here as possible future work only.</w:t>
            </w:r>
          </w:p>
        </w:tc>
      </w:tr>
    </w:tbl>
    <w:p w:rsidR="001F4F82" w:rsidRDefault="00073893">
      <w:pPr>
        <w:pStyle w:val="1"/>
        <w:keepNext/>
        <w:shd w:val="clear" w:color="auto" w:fill="0F766E"/>
        <w:spacing w:before="360" w:after="180"/>
      </w:pPr>
      <w:r>
        <w:rPr>
          <w:color w:val="FFFFFF"/>
        </w:rPr>
        <w:t xml:space="preserve">  4  Final Grading Criteria</w:t>
      </w:r>
    </w:p>
    <w:p w:rsidR="001F4F82" w:rsidRDefault="00073893">
      <w:pPr>
        <w:spacing w:after="120" w:line="300" w:lineRule="auto"/>
      </w:pPr>
      <w:r>
        <w:rPr>
          <w:color w:val="1F2937"/>
        </w:rPr>
        <w:t>The table shows the breakdown of marks over documentation, implementation, testing and presentation, and the evidence we will show for each part.</w:t>
      </w:r>
    </w:p>
    <w:tbl>
      <w:tblPr>
        <w:tblW w:w="9904"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1F4F82">
        <w:tblPrEx>
          <w:tblCellMar>
            <w:top w:w="0" w:type="dxa"/>
            <w:bottom w:w="0" w:type="dxa"/>
          </w:tblCellMar>
        </w:tblPrEx>
        <w:tc>
          <w:tcPr>
            <w:tcW w:w="9904" w:type="dxa"/>
            <w:tcBorders>
              <w:top w:val="none" w:sz="0" w:space="0" w:color="FFFFFF"/>
              <w:left w:val="single" w:sz="24" w:space="0" w:color="0F766E"/>
              <w:bottom w:val="none" w:sz="0" w:space="0" w:color="FFFFFF"/>
              <w:right w:val="none" w:sz="0" w:space="0" w:color="FFFFFF"/>
            </w:tcBorders>
            <w:shd w:val="clear" w:color="auto" w:fill="E6F6F4"/>
            <w:tcMar>
              <w:top w:w="120" w:type="dxa"/>
              <w:left w:w="220" w:type="dxa"/>
              <w:bottom w:w="120" w:type="dxa"/>
              <w:right w:w="200" w:type="dxa"/>
            </w:tcMar>
          </w:tcPr>
          <w:p w:rsidR="001F4F82" w:rsidRDefault="00073893">
            <w:pPr>
              <w:spacing w:after="40"/>
            </w:pPr>
            <w:r>
              <w:rPr>
                <w:b/>
                <w:bCs/>
                <w:color w:val="0F766E"/>
              </w:rPr>
              <w:t>Proposed weights</w:t>
            </w:r>
          </w:p>
          <w:p w:rsidR="001F4F82" w:rsidRDefault="00073893">
            <w:pPr>
              <w:spacing w:line="280" w:lineRule="auto"/>
            </w:pPr>
            <w:r>
              <w:rPr>
                <w:color w:val="1F2937"/>
                <w:sz w:val="20"/>
                <w:szCs w:val="20"/>
              </w:rPr>
              <w:t>These weights are our working proposal. If the lecturer or the course provides an official ru</w:t>
            </w:r>
            <w:r>
              <w:rPr>
                <w:color w:val="1F2937"/>
                <w:sz w:val="20"/>
                <w:szCs w:val="20"/>
              </w:rPr>
              <w:t>bric, we replace the numbers with it and keep the evidence column.</w:t>
            </w:r>
          </w:p>
        </w:tc>
      </w:tr>
    </w:tbl>
    <w:p w:rsidR="001F4F82" w:rsidRDefault="001F4F82">
      <w:pPr>
        <w:spacing w:after="100"/>
      </w:pP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6504"/>
      </w:tblGrid>
      <w:tr w:rsidR="001F4F82">
        <w:tblPrEx>
          <w:tblCellMar>
            <w:top w:w="0" w:type="dxa"/>
            <w:bottom w:w="0" w:type="dxa"/>
          </w:tblCellMar>
        </w:tblPrEx>
        <w:trPr>
          <w:cantSplit/>
          <w:tblHeader/>
        </w:trPr>
        <w:tc>
          <w:tcPr>
            <w:tcW w:w="23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Category</w:t>
            </w:r>
          </w:p>
        </w:tc>
        <w:tc>
          <w:tcPr>
            <w:tcW w:w="11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Marks</w:t>
            </w:r>
          </w:p>
        </w:tc>
        <w:tc>
          <w:tcPr>
            <w:tcW w:w="65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What is assessed</w:t>
            </w:r>
          </w:p>
        </w:tc>
      </w:tr>
      <w:tr w:rsidR="001F4F82">
        <w:tblPrEx>
          <w:tblCellMar>
            <w:top w:w="0" w:type="dxa"/>
            <w:bottom w:w="0" w:type="dxa"/>
          </w:tblCellMar>
        </w:tblPrEx>
        <w:trPr>
          <w:cantSplit/>
        </w:trPr>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Documentation</w:t>
            </w:r>
          </w:p>
        </w:tc>
        <w:tc>
          <w:tcPr>
            <w:tcW w:w="11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25</w:t>
            </w:r>
          </w:p>
        </w:tc>
        <w:tc>
          <w:tcPr>
            <w:tcW w:w="65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Planning, literature review, analysis and design, technical documentation, user guide</w:t>
            </w:r>
          </w:p>
        </w:tc>
      </w:tr>
      <w:tr w:rsidR="001F4F82">
        <w:tblPrEx>
          <w:tblCellMar>
            <w:top w:w="0" w:type="dxa"/>
            <w:bottom w:w="0" w:type="dxa"/>
          </w:tblCellMar>
        </w:tblPrEx>
        <w:trPr>
          <w:cantSplit/>
        </w:trPr>
        <w:tc>
          <w:tcPr>
            <w:tcW w:w="2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Implementation</w:t>
            </w:r>
          </w:p>
        </w:tc>
        <w:tc>
          <w:tcPr>
            <w:tcW w:w="11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40</w:t>
            </w:r>
          </w:p>
        </w:tc>
        <w:tc>
          <w:tcPr>
            <w:tcW w:w="65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Data pipeline, price model, recommender, RAG assistant, API and integration</w:t>
            </w:r>
          </w:p>
        </w:tc>
      </w:tr>
      <w:tr w:rsidR="001F4F82">
        <w:tblPrEx>
          <w:tblCellMar>
            <w:top w:w="0" w:type="dxa"/>
            <w:bottom w:w="0" w:type="dxa"/>
          </w:tblCellMar>
        </w:tblPrEx>
        <w:trPr>
          <w:cantSplit/>
        </w:trPr>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Testing</w:t>
            </w:r>
          </w:p>
        </w:tc>
        <w:tc>
          <w:tcPr>
            <w:tcW w:w="11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20</w:t>
            </w:r>
          </w:p>
        </w:tc>
        <w:tc>
          <w:tcPr>
            <w:tcW w:w="65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Test cases, model evaluation, KPI verification, robustness</w:t>
            </w:r>
          </w:p>
        </w:tc>
      </w:tr>
      <w:tr w:rsidR="001F4F82">
        <w:tblPrEx>
          <w:tblCellMar>
            <w:top w:w="0" w:type="dxa"/>
            <w:bottom w:w="0" w:type="dxa"/>
          </w:tblCellMar>
        </w:tblPrEx>
        <w:trPr>
          <w:cantSplit/>
        </w:trPr>
        <w:tc>
          <w:tcPr>
            <w:tcW w:w="23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b/>
                <w:bCs/>
                <w:color w:val="1F2937"/>
                <w:sz w:val="19"/>
                <w:szCs w:val="19"/>
              </w:rPr>
              <w:t>Presentation</w:t>
            </w:r>
          </w:p>
        </w:tc>
        <w:tc>
          <w:tcPr>
            <w:tcW w:w="11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15</w:t>
            </w:r>
          </w:p>
        </w:tc>
        <w:tc>
          <w:tcPr>
            <w:tcW w:w="65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Slides, live demo, answers to questions</w:t>
            </w:r>
          </w:p>
        </w:tc>
      </w:tr>
      <w:tr w:rsidR="001F4F82">
        <w:tblPrEx>
          <w:tblCellMar>
            <w:top w:w="0" w:type="dxa"/>
            <w:bottom w:w="0" w:type="dxa"/>
          </w:tblCellMar>
        </w:tblPrEx>
        <w:trPr>
          <w:cantSplit/>
        </w:trPr>
        <w:tc>
          <w:tcPr>
            <w:tcW w:w="23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pPr>
            <w:r>
              <w:rPr>
                <w:b/>
                <w:bCs/>
                <w:color w:val="0F766E"/>
                <w:sz w:val="19"/>
                <w:szCs w:val="19"/>
              </w:rPr>
              <w:t>Total</w:t>
            </w:r>
          </w:p>
        </w:tc>
        <w:tc>
          <w:tcPr>
            <w:tcW w:w="11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jc w:val="center"/>
            </w:pPr>
            <w:r>
              <w:rPr>
                <w:b/>
                <w:bCs/>
                <w:color w:val="0F766E"/>
                <w:sz w:val="19"/>
                <w:szCs w:val="19"/>
              </w:rPr>
              <w:t>100</w:t>
            </w:r>
          </w:p>
        </w:tc>
        <w:tc>
          <w:tcPr>
            <w:tcW w:w="65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1F4F82">
            <w:pPr>
              <w:spacing w:after="40" w:line="260" w:lineRule="auto"/>
            </w:pPr>
          </w:p>
        </w:tc>
      </w:tr>
    </w:tbl>
    <w:p w:rsidR="001F4F82" w:rsidRDefault="001F4F82">
      <w:pPr>
        <w:spacing w:after="80"/>
      </w:pPr>
    </w:p>
    <w:p w:rsidR="001C41CF" w:rsidRDefault="001C41CF">
      <w:pPr>
        <w:pStyle w:val="2"/>
        <w:keepNext/>
        <w:pBdr>
          <w:bottom w:val="single" w:sz="4" w:space="2" w:color="5EEAD4"/>
        </w:pBdr>
        <w:spacing w:before="240" w:after="100"/>
        <w:rPr>
          <w:color w:val="0F766E"/>
        </w:rPr>
      </w:pPr>
    </w:p>
    <w:p w:rsidR="001F4F82" w:rsidRDefault="00073893">
      <w:pPr>
        <w:pStyle w:val="2"/>
        <w:keepNext/>
        <w:pBdr>
          <w:bottom w:val="single" w:sz="4" w:space="2" w:color="5EEAD4"/>
        </w:pBdr>
        <w:spacing w:before="240" w:after="100"/>
      </w:pPr>
      <w:r>
        <w:rPr>
          <w:color w:val="0F766E"/>
        </w:rPr>
        <w:t>4.1  Documentation (25)</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000"/>
        <w:gridCol w:w="3104"/>
      </w:tblGrid>
      <w:tr w:rsidR="001F4F82">
        <w:tblPrEx>
          <w:tblCellMar>
            <w:top w:w="0" w:type="dxa"/>
            <w:bottom w:w="0" w:type="dxa"/>
          </w:tblCellMar>
        </w:tblPrEx>
        <w:trPr>
          <w:cantSplit/>
          <w:tblHeader/>
        </w:trPr>
        <w:tc>
          <w:tcPr>
            <w:tcW w:w="58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Component</w:t>
            </w:r>
          </w:p>
        </w:tc>
        <w:tc>
          <w:tcPr>
            <w:tcW w:w="1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Marks</w:t>
            </w:r>
          </w:p>
        </w:tc>
        <w:tc>
          <w:tcPr>
            <w:tcW w:w="31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Evidence</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Project planning &amp; management</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5</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Document 01</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Literature review &amp; evaluation</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5</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This document</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System analysis &amp; design (diagrams)</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8</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Design documents</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Technical documentation, user guide, README</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7</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 xml:space="preserve">Docs and </w:t>
            </w:r>
            <w:proofErr w:type="spellStart"/>
            <w:r>
              <w:rPr>
                <w:color w:val="1F2937"/>
                <w:sz w:val="19"/>
                <w:szCs w:val="19"/>
              </w:rPr>
              <w:t>GitHub</w:t>
            </w:r>
            <w:proofErr w:type="spellEnd"/>
            <w:r>
              <w:rPr>
                <w:color w:val="1F2937"/>
                <w:sz w:val="19"/>
                <w:szCs w:val="19"/>
              </w:rPr>
              <w:t xml:space="preserve"> repo</w:t>
            </w:r>
          </w:p>
        </w:tc>
      </w:tr>
    </w:tbl>
    <w:p w:rsidR="001F4F82" w:rsidRDefault="00073893">
      <w:pPr>
        <w:pStyle w:val="2"/>
        <w:keepNext/>
        <w:pBdr>
          <w:bottom w:val="single" w:sz="4" w:space="2" w:color="5EEAD4"/>
        </w:pBdr>
        <w:spacing w:before="240" w:after="100"/>
      </w:pPr>
      <w:r>
        <w:rPr>
          <w:color w:val="0F766E"/>
        </w:rPr>
        <w:t>4.2  Implementation (40)</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000"/>
        <w:gridCol w:w="3104"/>
      </w:tblGrid>
      <w:tr w:rsidR="001F4F82">
        <w:tblPrEx>
          <w:tblCellMar>
            <w:top w:w="0" w:type="dxa"/>
            <w:bottom w:w="0" w:type="dxa"/>
          </w:tblCellMar>
        </w:tblPrEx>
        <w:trPr>
          <w:cantSplit/>
          <w:tblHeader/>
        </w:trPr>
        <w:tc>
          <w:tcPr>
            <w:tcW w:w="58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Component</w:t>
            </w:r>
          </w:p>
        </w:tc>
        <w:tc>
          <w:tcPr>
            <w:tcW w:w="1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Marks</w:t>
            </w:r>
          </w:p>
        </w:tc>
        <w:tc>
          <w:tcPr>
            <w:tcW w:w="31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Evidence</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Data cleaning, extraction and EDA</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8</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Clean dataset, EDA notebook</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Price model: Deep Learning + baselines</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12</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Model code, evaluation report</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Recommender system</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7</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Working component</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RAG assistant</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8</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Grounded answers with cited ads</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API and integration</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5</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proofErr w:type="spellStart"/>
            <w:r>
              <w:rPr>
                <w:color w:val="1F2937"/>
                <w:sz w:val="19"/>
                <w:szCs w:val="19"/>
              </w:rPr>
              <w:t>FastAPI</w:t>
            </w:r>
            <w:proofErr w:type="spellEnd"/>
            <w:r>
              <w:rPr>
                <w:color w:val="1F2937"/>
                <w:sz w:val="19"/>
                <w:szCs w:val="19"/>
              </w:rPr>
              <w:t xml:space="preserve"> endpoints, demo interface</w:t>
            </w:r>
          </w:p>
        </w:tc>
      </w:tr>
    </w:tbl>
    <w:p w:rsidR="001F4F82" w:rsidRDefault="00073893">
      <w:pPr>
        <w:pStyle w:val="2"/>
        <w:keepNext/>
        <w:pBdr>
          <w:bottom w:val="single" w:sz="4" w:space="2" w:color="5EEAD4"/>
        </w:pBdr>
        <w:spacing w:before="240" w:after="100"/>
      </w:pPr>
      <w:r>
        <w:rPr>
          <w:color w:val="0F766E"/>
        </w:rPr>
        <w:t>4.3  Testing (20)</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000"/>
        <w:gridCol w:w="3104"/>
      </w:tblGrid>
      <w:tr w:rsidR="001F4F82">
        <w:tblPrEx>
          <w:tblCellMar>
            <w:top w:w="0" w:type="dxa"/>
            <w:bottom w:w="0" w:type="dxa"/>
          </w:tblCellMar>
        </w:tblPrEx>
        <w:trPr>
          <w:cantSplit/>
          <w:tblHeader/>
        </w:trPr>
        <w:tc>
          <w:tcPr>
            <w:tcW w:w="58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Component</w:t>
            </w:r>
          </w:p>
        </w:tc>
        <w:tc>
          <w:tcPr>
            <w:tcW w:w="1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Marks</w:t>
            </w:r>
          </w:p>
        </w:tc>
        <w:tc>
          <w:tcPr>
            <w:tcW w:w="31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Evidence</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Test cases and results</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6</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Test report</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Model evaluation (MAE, MAPE, fair split)</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7</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Held-out test results</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KPI verification</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4</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KPI table in section 2.2</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Robustness and bug fixes</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3</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Issue log</w:t>
            </w:r>
          </w:p>
        </w:tc>
      </w:tr>
    </w:tbl>
    <w:p w:rsidR="001F4F82" w:rsidRDefault="00073893">
      <w:pPr>
        <w:pStyle w:val="2"/>
        <w:keepNext/>
        <w:pBdr>
          <w:bottom w:val="single" w:sz="4" w:space="2" w:color="5EEAD4"/>
        </w:pBdr>
        <w:spacing w:before="240" w:after="100"/>
      </w:pPr>
      <w:r>
        <w:rPr>
          <w:color w:val="0F766E"/>
        </w:rPr>
        <w:t>4.4  Presentation (15)</w:t>
      </w:r>
    </w:p>
    <w:tbl>
      <w:tblPr>
        <w:tblW w:w="990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000"/>
        <w:gridCol w:w="3104"/>
      </w:tblGrid>
      <w:tr w:rsidR="001F4F82">
        <w:tblPrEx>
          <w:tblCellMar>
            <w:top w:w="0" w:type="dxa"/>
            <w:bottom w:w="0" w:type="dxa"/>
          </w:tblCellMar>
        </w:tblPrEx>
        <w:trPr>
          <w:cantSplit/>
          <w:tblHeader/>
        </w:trPr>
        <w:tc>
          <w:tcPr>
            <w:tcW w:w="58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Component</w:t>
            </w:r>
          </w:p>
        </w:tc>
        <w:tc>
          <w:tcPr>
            <w:tcW w:w="1000"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jc w:val="center"/>
            </w:pPr>
            <w:r>
              <w:rPr>
                <w:b/>
                <w:bCs/>
                <w:color w:val="FFFFFF"/>
                <w:sz w:val="19"/>
                <w:szCs w:val="19"/>
              </w:rPr>
              <w:t>Marks</w:t>
            </w:r>
          </w:p>
        </w:tc>
        <w:tc>
          <w:tcPr>
            <w:tcW w:w="3104" w:type="dxa"/>
            <w:tcBorders>
              <w:top w:val="none" w:sz="0" w:space="0" w:color="FFFFFF"/>
              <w:left w:val="none" w:sz="0" w:space="0" w:color="FFFFFF"/>
              <w:bottom w:val="single" w:sz="4" w:space="0" w:color="CBD5E1"/>
              <w:right w:val="none" w:sz="0" w:space="0" w:color="FFFFFF"/>
            </w:tcBorders>
            <w:shd w:val="clear" w:color="auto" w:fill="0F766E"/>
            <w:tcMar>
              <w:top w:w="70" w:type="dxa"/>
              <w:left w:w="110" w:type="dxa"/>
              <w:bottom w:w="70" w:type="dxa"/>
              <w:right w:w="110" w:type="dxa"/>
            </w:tcMar>
            <w:vAlign w:val="center"/>
          </w:tcPr>
          <w:p w:rsidR="001F4F82" w:rsidRDefault="00073893">
            <w:pPr>
              <w:spacing w:after="40" w:line="260" w:lineRule="auto"/>
            </w:pPr>
            <w:r>
              <w:rPr>
                <w:b/>
                <w:bCs/>
                <w:color w:val="FFFFFF"/>
                <w:sz w:val="19"/>
                <w:szCs w:val="19"/>
              </w:rPr>
              <w:t>Evidence</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Slides and structure</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5</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Final slides</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Live demo</w:t>
            </w:r>
          </w:p>
        </w:tc>
        <w:tc>
          <w:tcPr>
            <w:tcW w:w="1000"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6</w:t>
            </w:r>
          </w:p>
        </w:tc>
        <w:tc>
          <w:tcPr>
            <w:tcW w:w="3104" w:type="dxa"/>
            <w:tcBorders>
              <w:top w:val="none" w:sz="0" w:space="0" w:color="FFFFFF"/>
              <w:left w:val="none" w:sz="0" w:space="0" w:color="FFFFFF"/>
              <w:bottom w:val="single" w:sz="4" w:space="0" w:color="CBD5E1"/>
              <w:right w:val="none" w:sz="0" w:space="0" w:color="FFFFFF"/>
            </w:tcBorders>
            <w:shd w:val="clear" w:color="auto" w:fill="F8FAFC"/>
            <w:tcMar>
              <w:top w:w="70" w:type="dxa"/>
              <w:left w:w="110" w:type="dxa"/>
              <w:bottom w:w="70" w:type="dxa"/>
              <w:right w:w="110" w:type="dxa"/>
            </w:tcMar>
            <w:vAlign w:val="center"/>
          </w:tcPr>
          <w:p w:rsidR="001F4F82" w:rsidRDefault="00073893">
            <w:pPr>
              <w:spacing w:after="40" w:line="260" w:lineRule="auto"/>
            </w:pPr>
            <w:r>
              <w:rPr>
                <w:color w:val="1F2937"/>
                <w:sz w:val="19"/>
                <w:szCs w:val="19"/>
              </w:rPr>
              <w:t>Integrated demo</w:t>
            </w:r>
          </w:p>
        </w:tc>
      </w:tr>
      <w:tr w:rsidR="001F4F82">
        <w:tblPrEx>
          <w:tblCellMar>
            <w:top w:w="0" w:type="dxa"/>
            <w:bottom w:w="0" w:type="dxa"/>
          </w:tblCellMar>
        </w:tblPrEx>
        <w:trPr>
          <w:cantSplit/>
        </w:trPr>
        <w:tc>
          <w:tcPr>
            <w:tcW w:w="58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Questions and team contribution</w:t>
            </w:r>
          </w:p>
        </w:tc>
        <w:tc>
          <w:tcPr>
            <w:tcW w:w="1000"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jc w:val="center"/>
            </w:pPr>
            <w:r>
              <w:rPr>
                <w:color w:val="1F2937"/>
                <w:sz w:val="19"/>
                <w:szCs w:val="19"/>
              </w:rPr>
              <w:t>4</w:t>
            </w:r>
          </w:p>
        </w:tc>
        <w:tc>
          <w:tcPr>
            <w:tcW w:w="3104" w:type="dxa"/>
            <w:tcBorders>
              <w:top w:val="none" w:sz="0" w:space="0" w:color="FFFFFF"/>
              <w:left w:val="none" w:sz="0" w:space="0" w:color="FFFFFF"/>
              <w:bottom w:val="single" w:sz="4" w:space="0" w:color="CBD5E1"/>
              <w:right w:val="none" w:sz="0" w:space="0" w:color="FFFFFF"/>
            </w:tcBorders>
            <w:shd w:val="clear" w:color="auto" w:fill="FFFFFF"/>
            <w:tcMar>
              <w:top w:w="70" w:type="dxa"/>
              <w:left w:w="110" w:type="dxa"/>
              <w:bottom w:w="70" w:type="dxa"/>
              <w:right w:w="110" w:type="dxa"/>
            </w:tcMar>
            <w:vAlign w:val="center"/>
          </w:tcPr>
          <w:p w:rsidR="001F4F82" w:rsidRDefault="00073893">
            <w:pPr>
              <w:spacing w:after="40" w:line="260" w:lineRule="auto"/>
            </w:pPr>
            <w:r>
              <w:rPr>
                <w:color w:val="1F2937"/>
                <w:sz w:val="19"/>
                <w:szCs w:val="19"/>
              </w:rPr>
              <w:t>Q&amp;A, roles from Document 01</w:t>
            </w:r>
          </w:p>
        </w:tc>
      </w:tr>
    </w:tbl>
    <w:p w:rsidR="00073893" w:rsidRDefault="00073893"/>
    <w:sectPr w:rsidR="00073893">
      <w:headerReference w:type="default" r:id="rId8"/>
      <w:footerReference w:type="default" r:id="rId9"/>
      <w:pgSz w:w="11906" w:h="16838"/>
      <w:pgMar w:top="1300" w:right="1001" w:bottom="1100" w:left="1001"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893" w:rsidRDefault="00073893">
      <w:r>
        <w:separator/>
      </w:r>
    </w:p>
  </w:endnote>
  <w:endnote w:type="continuationSeparator" w:id="0">
    <w:p w:rsidR="00073893" w:rsidRDefault="0007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F82" w:rsidRDefault="00073893">
    <w:pPr>
      <w:pBdr>
        <w:top w:val="single" w:sz="4" w:space="4" w:color="D1D5DB"/>
      </w:pBdr>
      <w:tabs>
        <w:tab w:val="right" w:pos="9904"/>
      </w:tabs>
    </w:pPr>
    <w:r>
      <w:rPr>
        <w:color w:val="6B7280"/>
        <w:sz w:val="16"/>
        <w:szCs w:val="16"/>
      </w:rPr>
      <w:t>DEPI Graduation Project  ·  16 Oct 2026  ·  v1.0</w:t>
    </w:r>
    <w:r>
      <w:rPr>
        <w:b/>
        <w:bCs/>
        <w:color w:val="0F766E"/>
        <w:sz w:val="16"/>
        <w:szCs w:val="16"/>
      </w:rPr>
      <w:tab/>
      <w:t xml:space="preserve">Page </w:t>
    </w:r>
    <w:r>
      <w:rPr>
        <w:b/>
        <w:bCs/>
        <w:color w:val="0F766E"/>
        <w:sz w:val="16"/>
        <w:szCs w:val="16"/>
      </w:rPr>
      <w:fldChar w:fldCharType="begin"/>
    </w:r>
    <w:r>
      <w:rPr>
        <w:b/>
        <w:bCs/>
        <w:color w:val="0F766E"/>
        <w:sz w:val="16"/>
        <w:szCs w:val="16"/>
      </w:rPr>
      <w:instrText>PAGE</w:instrText>
    </w:r>
    <w:r w:rsidR="001C41CF">
      <w:rPr>
        <w:b/>
        <w:bCs/>
        <w:color w:val="0F766E"/>
        <w:sz w:val="16"/>
        <w:szCs w:val="16"/>
      </w:rPr>
      <w:fldChar w:fldCharType="separate"/>
    </w:r>
    <w:r w:rsidR="001C41CF">
      <w:rPr>
        <w:b/>
        <w:bCs/>
        <w:noProof/>
        <w:color w:val="0F766E"/>
        <w:sz w:val="16"/>
        <w:szCs w:val="16"/>
      </w:rPr>
      <w:t>2</w:t>
    </w:r>
    <w:r>
      <w:rPr>
        <w:b/>
        <w:bCs/>
        <w:color w:val="0F766E"/>
        <w:sz w:val="16"/>
        <w:szCs w:val="16"/>
      </w:rPr>
      <w:fldChar w:fldCharType="end"/>
    </w:r>
    <w:r>
      <w:rPr>
        <w:b/>
        <w:bCs/>
        <w:color w:val="0F766E"/>
        <w:sz w:val="16"/>
        <w:szCs w:val="16"/>
      </w:rPr>
      <w:t xml:space="preserve"> of </w:t>
    </w:r>
    <w:r>
      <w:rPr>
        <w:b/>
        <w:bCs/>
        <w:color w:val="0F766E"/>
        <w:sz w:val="16"/>
        <w:szCs w:val="16"/>
      </w:rPr>
      <w:fldChar w:fldCharType="begin"/>
    </w:r>
    <w:r>
      <w:rPr>
        <w:b/>
        <w:bCs/>
        <w:color w:val="0F766E"/>
        <w:sz w:val="16"/>
        <w:szCs w:val="16"/>
      </w:rPr>
      <w:instrText>NUMPAGES</w:instrText>
    </w:r>
    <w:r w:rsidR="001C41CF">
      <w:rPr>
        <w:b/>
        <w:bCs/>
        <w:color w:val="0F766E"/>
        <w:sz w:val="16"/>
        <w:szCs w:val="16"/>
      </w:rPr>
      <w:fldChar w:fldCharType="separate"/>
    </w:r>
    <w:r w:rsidR="001C41CF">
      <w:rPr>
        <w:b/>
        <w:bCs/>
        <w:noProof/>
        <w:color w:val="0F766E"/>
        <w:sz w:val="16"/>
        <w:szCs w:val="16"/>
      </w:rPr>
      <w:t>6</w:t>
    </w:r>
    <w:r>
      <w:rPr>
        <w:b/>
        <w:bCs/>
        <w:color w:val="0F766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893" w:rsidRDefault="00073893">
      <w:r>
        <w:separator/>
      </w:r>
    </w:p>
  </w:footnote>
  <w:footnote w:type="continuationSeparator" w:id="0">
    <w:p w:rsidR="00073893" w:rsidRDefault="00073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F82" w:rsidRDefault="00073893">
    <w:pPr>
      <w:pBdr>
        <w:bottom w:val="single" w:sz="12" w:space="4" w:color="0F766E"/>
      </w:pBdr>
      <w:tabs>
        <w:tab w:val="right" w:pos="9904"/>
      </w:tabs>
    </w:pPr>
    <w:r>
      <w:rPr>
        <w:b/>
        <w:bCs/>
        <w:color w:val="0F766E"/>
        <w:sz w:val="17"/>
        <w:szCs w:val="17"/>
      </w:rPr>
      <w:t>02 · Literature Review &amp; Evaluation</w:t>
    </w:r>
    <w:r>
      <w:rPr>
        <w:color w:val="6B7280"/>
        <w:sz w:val="17"/>
        <w:szCs w:val="17"/>
      </w:rPr>
      <w:tab/>
      <w:t>Egyptian Used-Phone Price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C6F7F"/>
    <w:multiLevelType w:val="hybridMultilevel"/>
    <w:tmpl w:val="40D214DE"/>
    <w:lvl w:ilvl="0" w:tplc="E25A55BA">
      <w:start w:val="1"/>
      <w:numFmt w:val="bullet"/>
      <w:lvlText w:val="●"/>
      <w:lvlJc w:val="left"/>
      <w:pPr>
        <w:ind w:left="720" w:hanging="360"/>
      </w:pPr>
    </w:lvl>
    <w:lvl w:ilvl="1" w:tplc="5A283B6C">
      <w:start w:val="1"/>
      <w:numFmt w:val="bullet"/>
      <w:lvlText w:val="○"/>
      <w:lvlJc w:val="left"/>
      <w:pPr>
        <w:ind w:left="1440" w:hanging="360"/>
      </w:pPr>
    </w:lvl>
    <w:lvl w:ilvl="2" w:tplc="04C0A35E">
      <w:start w:val="1"/>
      <w:numFmt w:val="bullet"/>
      <w:lvlText w:val="■"/>
      <w:lvlJc w:val="left"/>
      <w:pPr>
        <w:ind w:left="2160" w:hanging="360"/>
      </w:pPr>
    </w:lvl>
    <w:lvl w:ilvl="3" w:tplc="CCF8BEA8">
      <w:start w:val="1"/>
      <w:numFmt w:val="bullet"/>
      <w:lvlText w:val="●"/>
      <w:lvlJc w:val="left"/>
      <w:pPr>
        <w:ind w:left="2880" w:hanging="360"/>
      </w:pPr>
    </w:lvl>
    <w:lvl w:ilvl="4" w:tplc="B3380D28">
      <w:start w:val="1"/>
      <w:numFmt w:val="bullet"/>
      <w:lvlText w:val="○"/>
      <w:lvlJc w:val="left"/>
      <w:pPr>
        <w:ind w:left="3600" w:hanging="360"/>
      </w:pPr>
    </w:lvl>
    <w:lvl w:ilvl="5" w:tplc="236E8450">
      <w:start w:val="1"/>
      <w:numFmt w:val="bullet"/>
      <w:lvlText w:val="■"/>
      <w:lvlJc w:val="left"/>
      <w:pPr>
        <w:ind w:left="4320" w:hanging="360"/>
      </w:pPr>
    </w:lvl>
    <w:lvl w:ilvl="6" w:tplc="5AA4D670">
      <w:start w:val="1"/>
      <w:numFmt w:val="bullet"/>
      <w:lvlText w:val="●"/>
      <w:lvlJc w:val="left"/>
      <w:pPr>
        <w:ind w:left="5040" w:hanging="360"/>
      </w:pPr>
    </w:lvl>
    <w:lvl w:ilvl="7" w:tplc="38882490">
      <w:start w:val="1"/>
      <w:numFmt w:val="bullet"/>
      <w:lvlText w:val="●"/>
      <w:lvlJc w:val="left"/>
      <w:pPr>
        <w:ind w:left="5760" w:hanging="360"/>
      </w:pPr>
    </w:lvl>
    <w:lvl w:ilvl="8" w:tplc="184C7DF0">
      <w:start w:val="1"/>
      <w:numFmt w:val="bullet"/>
      <w:lvlText w:val="●"/>
      <w:lvlJc w:val="left"/>
      <w:pPr>
        <w:ind w:left="6480" w:hanging="360"/>
      </w:pPr>
    </w:lvl>
  </w:abstractNum>
  <w:abstractNum w:abstractNumId="1">
    <w:nsid w:val="4FB75884"/>
    <w:multiLevelType w:val="hybridMultilevel"/>
    <w:tmpl w:val="212E2812"/>
    <w:lvl w:ilvl="0" w:tplc="90BCE002">
      <w:start w:val="1"/>
      <w:numFmt w:val="decimal"/>
      <w:lvlText w:val="%1."/>
      <w:lvlJc w:val="left"/>
      <w:pPr>
        <w:ind w:left="540" w:hanging="360"/>
      </w:pPr>
      <w:rPr>
        <w:b/>
        <w:bCs/>
        <w:color w:val="0F766E"/>
      </w:rPr>
    </w:lvl>
    <w:lvl w:ilvl="1" w:tplc="48520568">
      <w:numFmt w:val="decimal"/>
      <w:lvlText w:val=""/>
      <w:lvlJc w:val="left"/>
    </w:lvl>
    <w:lvl w:ilvl="2" w:tplc="E7FA1EE8">
      <w:numFmt w:val="decimal"/>
      <w:lvlText w:val=""/>
      <w:lvlJc w:val="left"/>
    </w:lvl>
    <w:lvl w:ilvl="3" w:tplc="280E2B10">
      <w:numFmt w:val="decimal"/>
      <w:lvlText w:val=""/>
      <w:lvlJc w:val="left"/>
    </w:lvl>
    <w:lvl w:ilvl="4" w:tplc="5D0C2650">
      <w:numFmt w:val="decimal"/>
      <w:lvlText w:val=""/>
      <w:lvlJc w:val="left"/>
    </w:lvl>
    <w:lvl w:ilvl="5" w:tplc="23584C96">
      <w:numFmt w:val="decimal"/>
      <w:lvlText w:val=""/>
      <w:lvlJc w:val="left"/>
    </w:lvl>
    <w:lvl w:ilvl="6" w:tplc="8B12A738">
      <w:numFmt w:val="decimal"/>
      <w:lvlText w:val=""/>
      <w:lvlJc w:val="left"/>
    </w:lvl>
    <w:lvl w:ilvl="7" w:tplc="C3DEC45C">
      <w:numFmt w:val="decimal"/>
      <w:lvlText w:val=""/>
      <w:lvlJc w:val="left"/>
    </w:lvl>
    <w:lvl w:ilvl="8" w:tplc="7E9485C8">
      <w:numFmt w:val="decimal"/>
      <w:lvlText w:val=""/>
      <w:lvlJc w:val="left"/>
    </w:lvl>
  </w:abstractNum>
  <w:abstractNum w:abstractNumId="2">
    <w:nsid w:val="6B8063E9"/>
    <w:multiLevelType w:val="hybridMultilevel"/>
    <w:tmpl w:val="64A21BD0"/>
    <w:lvl w:ilvl="0" w:tplc="65AE4B7C">
      <w:start w:val="1"/>
      <w:numFmt w:val="bullet"/>
      <w:lvlText w:val="•"/>
      <w:lvlJc w:val="left"/>
      <w:pPr>
        <w:ind w:left="540" w:hanging="270"/>
      </w:pPr>
      <w:rPr>
        <w:color w:val="0F766E"/>
      </w:rPr>
    </w:lvl>
    <w:lvl w:ilvl="1" w:tplc="2B56EA32">
      <w:numFmt w:val="decimal"/>
      <w:lvlText w:val=""/>
      <w:lvlJc w:val="left"/>
    </w:lvl>
    <w:lvl w:ilvl="2" w:tplc="26842340">
      <w:numFmt w:val="decimal"/>
      <w:lvlText w:val=""/>
      <w:lvlJc w:val="left"/>
    </w:lvl>
    <w:lvl w:ilvl="3" w:tplc="9B6E74E4">
      <w:numFmt w:val="decimal"/>
      <w:lvlText w:val=""/>
      <w:lvlJc w:val="left"/>
    </w:lvl>
    <w:lvl w:ilvl="4" w:tplc="E80A8608">
      <w:numFmt w:val="decimal"/>
      <w:lvlText w:val=""/>
      <w:lvlJc w:val="left"/>
    </w:lvl>
    <w:lvl w:ilvl="5" w:tplc="72B279BE">
      <w:numFmt w:val="decimal"/>
      <w:lvlText w:val=""/>
      <w:lvlJc w:val="left"/>
    </w:lvl>
    <w:lvl w:ilvl="6" w:tplc="CFDA5D1C">
      <w:numFmt w:val="decimal"/>
      <w:lvlText w:val=""/>
      <w:lvlJc w:val="left"/>
    </w:lvl>
    <w:lvl w:ilvl="7" w:tplc="5DB2F592">
      <w:numFmt w:val="decimal"/>
      <w:lvlText w:val=""/>
      <w:lvlJc w:val="left"/>
    </w:lvl>
    <w:lvl w:ilvl="8" w:tplc="9A068820">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F4F82"/>
    <w:rsid w:val="00073893"/>
    <w:rsid w:val="001C41CF"/>
    <w:rsid w:val="001F4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outlineLvl w:val="0"/>
    </w:pPr>
    <w:rPr>
      <w:b/>
      <w:bCs/>
      <w:sz w:val="30"/>
      <w:szCs w:val="30"/>
    </w:rPr>
  </w:style>
  <w:style w:type="paragraph" w:styleId="2">
    <w:name w:val="heading 2"/>
    <w:qFormat/>
    <w:pPr>
      <w:outlineLvl w:val="1"/>
    </w:pPr>
    <w:rPr>
      <w:b/>
      <w:bCs/>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outlineLvl w:val="0"/>
    </w:pPr>
    <w:rPr>
      <w:b/>
      <w:bCs/>
      <w:sz w:val="30"/>
      <w:szCs w:val="30"/>
    </w:rPr>
  </w:style>
  <w:style w:type="paragraph" w:styleId="2">
    <w:name w:val="heading 2"/>
    <w:qFormat/>
    <w:pPr>
      <w:outlineLvl w:val="1"/>
    </w:pPr>
    <w:rPr>
      <w:b/>
      <w:bCs/>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1654</Words>
  <Characters>9429</Characters>
  <Application>Microsoft Office Word</Application>
  <DocSecurity>0</DocSecurity>
  <Lines>78</Lines>
  <Paragraphs>22</Paragraphs>
  <ScaleCrop>false</ScaleCrop>
  <HeadingPairs>
    <vt:vector size="2" baseType="variant">
      <vt:variant>
        <vt:lpstr>العنوان</vt:lpstr>
      </vt:variant>
      <vt:variant>
        <vt:i4>1</vt:i4>
      </vt:variant>
    </vt:vector>
  </HeadingPairs>
  <TitlesOfParts>
    <vt:vector size="1" baseType="lpstr">
      <vt:lpstr>02 · Literature Review &amp; Evaluation</vt:lpstr>
    </vt:vector>
  </TitlesOfParts>
  <Company/>
  <LinksUpToDate>false</LinksUpToDate>
  <CharactersWithSpaces>11061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Literature Review &amp; Evaluation</dc:title>
  <dc:creator>DEPI Team</dc:creator>
  <cp:lastModifiedBy>dell</cp:lastModifiedBy>
  <cp:revision>2</cp:revision>
  <dcterms:created xsi:type="dcterms:W3CDTF">2026-10-16T16:16:00Z</dcterms:created>
  <dcterms:modified xsi:type="dcterms:W3CDTF">2026-10-16T16:16:00Z</dcterms:modified>
</cp:coreProperties>
</file>