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b/>
          <w:b/>
          <w:bCs/>
          <w:sz w:val="18"/>
          <w:szCs w:val="18"/>
        </w:rPr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column">
                  <wp:posOffset>-128270</wp:posOffset>
                </wp:positionH>
                <wp:positionV relativeFrom="paragraph">
                  <wp:posOffset>97155</wp:posOffset>
                </wp:positionV>
                <wp:extent cx="7153910" cy="442023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3200" cy="441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10.1pt;margin-top:7.65pt;width:563.2pt;height:347.95pt">
                <w10:wrap type="none"/>
                <v:fill o:detectmouseclick="t" color2="black"/>
                <v:stroke color="black" joinstyle="round" endcap="flat"/>
              </v:rect>
            </w:pict>
          </mc:Fallback>
        </mc:AlternateContent>
      </w:r>
    </w:p>
    <w:p>
      <w:pPr>
        <w:pStyle w:val="Normal"/>
        <w:spacing w:lineRule="auto" w:line="240" w:before="0" w:after="0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Purpose of the EQA: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sz w:val="18"/>
          <w:szCs w:val="18"/>
        </w:rPr>
      </w:pPr>
      <w:r>
        <w:rPr>
          <w:sz w:val="18"/>
          <w:szCs w:val="18"/>
        </w:rPr>
        <w:t>Assess the accuracy of RSV sequencing.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sz w:val="18"/>
          <w:szCs w:val="18"/>
        </w:rPr>
      </w:pPr>
      <w:r>
        <w:rPr>
          <w:sz w:val="18"/>
          <w:szCs w:val="18"/>
        </w:rPr>
        <w:t>Measure the quality of viral sequencing.</w:t>
      </w:r>
    </w:p>
    <w:p>
      <w:pPr>
        <w:pStyle w:val="Normal"/>
        <w:spacing w:lineRule="auto" w:line="240" w:before="0" w:after="0"/>
        <w:ind w:left="462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  <w:t>Appendix 1 provides a summary of the procedures for specimen preparation, data submission, and analysis, along with details on result validation, quality metrics, and laboratory compliance.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  <w:t xml:space="preserve">Specimens for this EQA were distributed by UK NEQAS Microbiology as part of the WHO Molecular Detection of RSV Distribution 5791. Specimens with detectable virus are either sequenced in-house or sent to a reference laboratory following routine procedures.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  <w:t xml:space="preserve">As part of the sequencing result submission, participants complete a survey on sequencing technology. FASTA, </w:t>
      </w:r>
      <w:r>
        <w:rPr>
          <w:sz w:val="18"/>
          <w:szCs w:val="18"/>
        </w:rPr>
        <w:t xml:space="preserve">FASTQ and/or BAM </w:t>
      </w:r>
      <w:r>
        <w:rPr>
          <w:sz w:val="18"/>
          <w:szCs w:val="18"/>
        </w:rPr>
        <w:t xml:space="preserve">files are evaluated for sequencing </w:t>
      </w:r>
      <w:r>
        <w:rPr>
          <w:sz w:val="18"/>
          <w:szCs w:val="18"/>
        </w:rPr>
        <w:t xml:space="preserve">quality metrics, including read coverage and accuracy based on the comparison to GISAID reference sequences </w:t>
      </w:r>
      <w:r>
        <w:rPr>
          <w:iCs/>
          <w:sz w:val="18"/>
          <w:szCs w:val="18"/>
        </w:rPr>
        <w:t xml:space="preserve">EPI_ISL_412866 (RSV A) or </w:t>
      </w:r>
      <w:r>
        <w:rPr>
          <w:rFonts w:ascii="Arial;sans-serif" w:hAnsi="Arial;sans-serif"/>
          <w:iCs/>
          <w:sz w:val="18"/>
          <w:szCs w:val="18"/>
          <w:lang w:val="en-US"/>
        </w:rPr>
        <w:t xml:space="preserve">EPI_ISL_1653999 </w:t>
      </w:r>
      <w:r>
        <w:rPr>
          <w:rFonts w:eastAsia="Aptos" w:cs="" w:ascii="Arial;sans-serif" w:hAnsi="Arial;sans-serif" w:cstheme="minorBidi" w:eastAsiaTheme="minorHAnsi"/>
          <w:iCs/>
          <w:color w:val="auto"/>
          <w:kern w:val="2"/>
          <w:sz w:val="18"/>
          <w:szCs w:val="18"/>
          <w:lang w:val="en-US" w:eastAsia="en-US" w:bidi="ar-SA"/>
          <w14:ligatures w14:val="standardContextual"/>
        </w:rPr>
        <w:t>(</w:t>
      </w:r>
      <w:r>
        <w:rPr>
          <w:rFonts w:ascii="Arial;sans-serif" w:hAnsi="Arial;sans-serif"/>
          <w:iCs/>
          <w:sz w:val="18"/>
          <w:szCs w:val="18"/>
          <w:lang w:val="en-US"/>
        </w:rPr>
        <w:t xml:space="preserve">RSV B) </w:t>
      </w:r>
      <w:r>
        <w:rPr>
          <w:sz w:val="18"/>
          <w:szCs w:val="18"/>
        </w:rPr>
        <w:t xml:space="preserve">(see Appendix 1 for definitions).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  <w:t xml:space="preserve">Each participant receives a report outlining </w:t>
      </w:r>
      <w:r>
        <w:rPr>
          <w:rFonts w:eastAsia="Aptos" w:cs="" w:cstheme="minorBidi" w:eastAsiaTheme="minorHAnsi"/>
          <w:color w:val="auto"/>
          <w:kern w:val="2"/>
          <w:sz w:val="18"/>
          <w:szCs w:val="18"/>
          <w:lang w:val="en-GB" w:eastAsia="en-US" w:bidi="ar-SA"/>
          <w14:ligatures w14:val="standardContextual"/>
        </w:rPr>
        <w:t xml:space="preserve">the comparison to: 1-a reference lab which sequenced the distributed samples, and 2-against the </w:t>
      </w:r>
      <w:r>
        <w:rPr>
          <w:rFonts w:eastAsia="Aptos" w:cs="" w:cstheme="minorBidi" w:eastAsiaTheme="minorHAnsi"/>
          <w:color w:val="auto"/>
          <w:kern w:val="2"/>
          <w:sz w:val="18"/>
          <w:szCs w:val="18"/>
          <w:lang w:val="en-GB" w:eastAsia="en-US" w:bidi="ar-SA"/>
          <w14:ligatures w14:val="standardContextual"/>
        </w:rPr>
        <w:t>aggregated</w:t>
      </w:r>
      <w:r>
        <w:rPr>
          <w:rFonts w:eastAsia="Aptos" w:cs="" w:cstheme="minorBidi" w:eastAsiaTheme="minorHAnsi"/>
          <w:color w:val="auto"/>
          <w:kern w:val="2"/>
          <w:sz w:val="18"/>
          <w:szCs w:val="18"/>
          <w:lang w:val="en-GB" w:eastAsia="en-US" w:bidi="ar-SA"/>
          <w14:ligatures w14:val="standardContextual"/>
        </w:rPr>
        <w:t xml:space="preserve"> results submitted by other participants</w:t>
      </w:r>
      <w:r>
        <w:rPr>
          <w:sz w:val="18"/>
          <w:szCs w:val="18"/>
        </w:rPr>
        <w:t>.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  <w:t xml:space="preserve">Additionally, </w:t>
      </w:r>
      <w:r>
        <w:rPr>
          <w:sz w:val="18"/>
          <w:szCs w:val="18"/>
        </w:rPr>
        <w:t xml:space="preserve">the comparison to GISAID reference sequences enables lineage assignment of the </w:t>
      </w:r>
      <w:r>
        <w:rPr>
          <w:sz w:val="18"/>
          <w:szCs w:val="18"/>
        </w:rPr>
        <w:t>submitted sequenc</w:t>
      </w:r>
      <w:r>
        <w:rPr>
          <w:sz w:val="18"/>
          <w:szCs w:val="18"/>
        </w:rPr>
        <w:t>e</w:t>
      </w:r>
      <w:r>
        <w:rPr>
          <w:sz w:val="18"/>
          <w:szCs w:val="18"/>
        </w:rPr>
        <w:t xml:space="preserve"> data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using Nextclade (</w:t>
      </w:r>
      <w:hyperlink r:id="rId2">
        <w:r>
          <w:rPr>
            <w:rStyle w:val="InternetLink"/>
            <w:sz w:val="18"/>
            <w:szCs w:val="18"/>
          </w:rPr>
          <w:t>https://clades.nextstrain.org/dataset</w:t>
        </w:r>
      </w:hyperlink>
      <w:r>
        <w:rPr>
          <w:sz w:val="18"/>
          <w:szCs w:val="18"/>
        </w:rPr>
        <w:t>).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  <w:t>A total of 79 specimen sets were distributed with 75 (94.9%) participants returning results within the specified period. Overall performance for this distribution was excellent with 90.8% of participants returning the intended result for the detection of RSV part, whilst 89.9% of participants returned a correct result for the RSV typing part of the EQA.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  <w:t xml:space="preserve">In the Figures on page </w:t>
      </w:r>
      <w:r>
        <w:rPr>
          <w:sz w:val="18"/>
          <w:szCs w:val="18"/>
        </w:rPr>
        <w:t>3</w:t>
      </w:r>
      <w:r>
        <w:rPr>
          <w:sz w:val="18"/>
          <w:szCs w:val="18"/>
        </w:rPr>
        <w:t xml:space="preserve"> and subsequent pages results are presented for the different  Quality Metrics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  <w:t xml:space="preserve">Turn around time: The time taken to report your results was 11-days. This information is provided for your own use and does not form part of your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b/>
          <w:bCs/>
          <w:sz w:val="18"/>
          <w:szCs w:val="18"/>
        </w:rPr>
        <w:t>Enquiries:</w:t>
      </w:r>
      <w:r>
        <w:rPr>
          <w:sz w:val="18"/>
          <w:szCs w:val="18"/>
        </w:rPr>
        <w:t xml:space="preserve"> Pre-distribution test results are available should you experience a technical failure and wish to discuss the results. Written enquiries about this distribution should be addressed to Dr Sanjiv Rughooputh at the email address below.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b/>
          <w:bCs/>
          <w:sz w:val="18"/>
          <w:szCs w:val="18"/>
        </w:rPr>
        <w:t>Acknowledgements:</w:t>
      </w:r>
      <w:r>
        <w:rPr>
          <w:sz w:val="18"/>
          <w:szCs w:val="18"/>
        </w:rPr>
        <w:t xml:space="preserve"> We would like to thank NICD, VIDRL and UKHSA for the provision of clinical isolates, UKHSA Manchester, VRD, Micropathology Ltd for their kind assistance with pre-distribution tests, and </w:t>
      </w:r>
      <w:r>
        <w:rPr>
          <w:sz w:val="18"/>
          <w:szCs w:val="18"/>
        </w:rPr>
        <w:t>Cranfield University</w:t>
      </w:r>
      <w:r>
        <w:rPr>
          <w:sz w:val="18"/>
          <w:szCs w:val="18"/>
        </w:rPr>
        <w:t xml:space="preserve"> for </w:t>
      </w:r>
      <w:r>
        <w:rPr>
          <w:sz w:val="18"/>
          <w:szCs w:val="18"/>
        </w:rPr>
        <w:t>b</w:t>
      </w:r>
      <w:r>
        <w:rPr>
          <w:sz w:val="18"/>
          <w:szCs w:val="18"/>
        </w:rPr>
        <w:t>ioinformatics analysis.</w:t>
      </w:r>
    </w:p>
    <w:p>
      <w:pPr>
        <w:pStyle w:val="Normal"/>
        <w:numPr>
          <w:ilvl w:val="0"/>
          <w:numId w:val="0"/>
        </w:numPr>
        <w:ind w:left="462" w:hanging="0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sectPr>
      <w:headerReference w:type="default" r:id="rId3"/>
      <w:footerReference w:type="default" r:id="rId4"/>
      <w:type w:val="nextPage"/>
      <w:pgSz w:w="12240" w:h="15840"/>
      <w:pgMar w:left="562" w:right="562" w:header="720" w:top="778" w:footer="0" w:bottom="562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rial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02054743"/>
    </w:sdtPr>
    <w:sdtContent>
      <w:p>
        <w:pPr>
          <w:pStyle w:val="Footer"/>
          <w:jc w:val="right"/>
          <w:rPr/>
        </w:pPr>
        <w:r>
          <w:rPr/>
        </w:r>
      </w:p>
    </w:sdtContent>
  </w:sdt>
  <w:tbl>
    <w:tblPr>
      <w:tblW w:w="11190" w:type="dxa"/>
      <w:jc w:val="left"/>
      <w:tblInd w:w="88" w:type="dxa"/>
      <w:tblCellMar>
        <w:top w:w="0" w:type="dxa"/>
        <w:left w:w="108" w:type="dxa"/>
        <w:bottom w:w="0" w:type="dxa"/>
        <w:right w:w="108" w:type="dxa"/>
      </w:tblCellMar>
    </w:tblPr>
    <w:tblGrid>
      <w:gridCol w:w="876"/>
      <w:gridCol w:w="3284"/>
      <w:gridCol w:w="7030"/>
    </w:tblGrid>
    <w:tr>
      <w:trPr>
        <w:trHeight w:val="840" w:hRule="atLeast"/>
      </w:trPr>
      <w:tc>
        <w:tcPr>
          <w:tcW w:w="876" w:type="dxa"/>
          <w:vMerge w:val="restart"/>
          <w:tcBorders/>
        </w:tcPr>
        <w:p>
          <w:pPr>
            <w:pStyle w:val="Footer"/>
            <w:rPr/>
          </w:pPr>
          <w:r>
            <w:rPr/>
            <w:drawing>
              <wp:inline distT="0" distB="0" distL="0" distR="0">
                <wp:extent cx="411480" cy="400050"/>
                <wp:effectExtent l="0" t="0" r="0" b="0"/>
                <wp:docPr id="3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148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4" w:type="dxa"/>
          <w:vMerge w:val="restart"/>
          <w:tcBorders/>
        </w:tcPr>
        <w:p>
          <w:pPr>
            <w:pStyle w:val="Footer"/>
            <w:rPr>
              <w:color w:val="4F81BD"/>
              <w:sz w:val="16"/>
              <w:szCs w:val="16"/>
            </w:rPr>
          </w:pPr>
          <w:r>
            <w:rPr>
              <w:color w:val="4F81BD"/>
              <w:sz w:val="16"/>
              <w:szCs w:val="16"/>
            </w:rPr>
            <w:t>Operated by UK Health Security Agency</w:t>
          </w:r>
        </w:p>
        <w:p>
          <w:pPr>
            <w:pStyle w:val="Footer"/>
            <w:rPr>
              <w:color w:val="4F81BD"/>
              <w:sz w:val="16"/>
              <w:szCs w:val="16"/>
            </w:rPr>
          </w:pPr>
          <w:r>
            <w:rPr>
              <w:color w:val="4F81BD"/>
              <w:sz w:val="16"/>
              <w:szCs w:val="16"/>
            </w:rPr>
            <w:t>61 Colindale Avenue</w:t>
          </w:r>
        </w:p>
        <w:p>
          <w:pPr>
            <w:pStyle w:val="Footer"/>
            <w:rPr>
              <w:color w:val="4F81BD"/>
              <w:sz w:val="16"/>
              <w:szCs w:val="16"/>
            </w:rPr>
          </w:pPr>
          <w:r>
            <w:rPr>
              <w:color w:val="4F81BD"/>
              <w:sz w:val="16"/>
              <w:szCs w:val="16"/>
            </w:rPr>
            <w:t>Colindale</w:t>
          </w:r>
        </w:p>
        <w:p>
          <w:pPr>
            <w:pStyle w:val="Footer"/>
            <w:rPr>
              <w:color w:val="4F81BD"/>
              <w:sz w:val="16"/>
              <w:szCs w:val="16"/>
            </w:rPr>
          </w:pPr>
          <w:r>
            <w:rPr>
              <w:color w:val="4F81BD"/>
              <w:sz w:val="16"/>
              <w:szCs w:val="16"/>
            </w:rPr>
            <w:t>London NW9 5EQ</w:t>
          </w:r>
        </w:p>
      </w:tc>
      <w:tc>
        <w:tcPr>
          <w:tcW w:w="7030" w:type="dxa"/>
          <w:tcBorders/>
        </w:tcPr>
        <w:p>
          <w:pPr>
            <w:pStyle w:val="Footer"/>
            <w:rPr>
              <w:color w:val="4F81BD"/>
              <w:sz w:val="16"/>
              <w:szCs w:val="16"/>
            </w:rPr>
          </w:pPr>
          <w:r>
            <w:rPr>
              <w:color w:val="4F81BD"/>
              <w:sz w:val="16"/>
              <w:szCs w:val="16"/>
            </w:rPr>
            <w:t>© Copyright. The data in UK NEQAS reports are confidential. Participants must consult the Scheme Organiser before quoting data from the scheme.</w:t>
          </w:r>
        </w:p>
        <w:p>
          <w:pPr>
            <w:pStyle w:val="Footer"/>
            <w:rPr>
              <w:color w:val="4F81BD"/>
              <w:sz w:val="16"/>
              <w:szCs w:val="16"/>
            </w:rPr>
          </w:pPr>
          <w:r>
            <w:rPr>
              <w:color w:val="4F81BD"/>
              <w:sz w:val="16"/>
              <w:szCs w:val="16"/>
            </w:rPr>
            <w:t>UK NEQAS for Microbiology</w:t>
          </w:r>
        </w:p>
        <w:p>
          <w:pPr>
            <w:pStyle w:val="Footer"/>
            <w:rPr>
              <w:color w:val="4F81BD"/>
              <w:sz w:val="16"/>
              <w:szCs w:val="16"/>
            </w:rPr>
          </w:pPr>
          <w:r>
            <w:rPr>
              <w:color w:val="4F81BD"/>
              <w:sz w:val="16"/>
              <w:szCs w:val="16"/>
            </w:rPr>
            <w:t>PO Box 63003</w:t>
          </w:r>
        </w:p>
        <w:p>
          <w:pPr>
            <w:pStyle w:val="Footer"/>
            <w:rPr>
              <w:color w:val="4F81BD"/>
              <w:sz w:val="16"/>
              <w:szCs w:val="16"/>
            </w:rPr>
          </w:pPr>
          <w:r>
            <w:rPr>
              <w:color w:val="4F81BD"/>
              <w:sz w:val="16"/>
              <w:szCs w:val="16"/>
            </w:rPr>
            <w:t>London NW9 1GH</w:t>
          </w:r>
        </w:p>
      </w:tc>
    </w:tr>
    <w:tr>
      <w:trPr>
        <w:trHeight w:val="285" w:hRule="atLeast"/>
      </w:trPr>
      <w:tc>
        <w:tcPr>
          <w:tcW w:w="876" w:type="dxa"/>
          <w:vMerge w:val="continue"/>
          <w:tcBorders/>
        </w:tcPr>
        <w:p>
          <w:pPr>
            <w:pStyle w:val="Normal"/>
            <w:widowControl/>
            <w:suppressAutoHyphens w:val="true"/>
            <w:bidi w:val="0"/>
            <w:spacing w:lineRule="auto" w:line="276" w:before="0" w:after="200"/>
            <w:jc w:val="left"/>
            <w:rPr/>
          </w:pPr>
          <w:r>
            <w:rPr/>
          </w:r>
        </w:p>
      </w:tc>
      <w:tc>
        <w:tcPr>
          <w:tcW w:w="3284" w:type="dxa"/>
          <w:vMerge w:val="continue"/>
          <w:tcBorders/>
        </w:tcPr>
        <w:p>
          <w:pPr>
            <w:pStyle w:val="Normal"/>
            <w:widowControl/>
            <w:suppressAutoHyphens w:val="true"/>
            <w:bidi w:val="0"/>
            <w:spacing w:lineRule="auto" w:line="276" w:before="0" w:after="200"/>
            <w:jc w:val="left"/>
            <w:rPr/>
          </w:pPr>
          <w:r>
            <w:rPr/>
          </w:r>
        </w:p>
      </w:tc>
      <w:tc>
        <w:tcPr>
          <w:tcW w:w="7030" w:type="dxa"/>
          <w:tcBorders/>
        </w:tcPr>
        <w:p>
          <w:pPr>
            <w:pStyle w:val="Footer"/>
            <w:jc w:val="right"/>
            <w:rPr/>
          </w:pPr>
          <w:r>
            <w:rPr>
              <w:b/>
              <w:bCs/>
              <w:color w:val="4F81BD"/>
              <w:sz w:val="18"/>
              <w:szCs w:val="18"/>
            </w:rPr>
            <w:t>Printed on :</w:t>
          </w:r>
          <w:r>
            <w:rPr>
              <w:b/>
              <w:bCs/>
              <w:color w:val="4F81BD"/>
              <w:sz w:val="18"/>
              <w:szCs w:val="18"/>
            </w:rPr>
            <w:fldChar w:fldCharType="begin"/>
          </w:r>
          <w:r>
            <w:rPr>
              <w:sz w:val="18"/>
              <w:b/>
              <w:szCs w:val="18"/>
              <w:bCs/>
              <w:color w:val="4F81BD"/>
            </w:rPr>
            <w:instrText> DATE \@"dd\/MM\/yyyy\ HH:mm" </w:instrText>
          </w:r>
          <w:r>
            <w:rPr>
              <w:sz w:val="18"/>
              <w:b/>
              <w:szCs w:val="18"/>
              <w:bCs/>
              <w:color w:val="4F81BD"/>
            </w:rPr>
            <w:fldChar w:fldCharType="separate"/>
          </w:r>
          <w:r>
            <w:rPr>
              <w:sz w:val="18"/>
              <w:b/>
              <w:szCs w:val="18"/>
              <w:bCs/>
              <w:color w:val="4F81BD"/>
            </w:rPr>
            <w:t>27/02/2025 16:29</w:t>
          </w:r>
          <w:r>
            <w:rPr>
              <w:sz w:val="18"/>
              <w:b/>
              <w:szCs w:val="18"/>
              <w:bCs/>
              <w:color w:val="4F81BD"/>
            </w:rPr>
            <w:fldChar w:fldCharType="end"/>
          </w:r>
        </w:p>
      </w:tc>
    </w:tr>
  </w:tbl>
  <w:p>
    <w:pPr>
      <w:pStyle w:val="Normal"/>
      <w:spacing w:before="0" w:after="1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tbl>
    <w:tblPr>
      <w:tblW w:w="11117" w:type="dxa"/>
      <w:jc w:val="left"/>
      <w:tblInd w:w="0" w:type="dxa"/>
      <w:tblCellMar>
        <w:top w:w="0" w:type="dxa"/>
        <w:left w:w="5" w:type="dxa"/>
        <w:bottom w:w="0" w:type="dxa"/>
        <w:right w:w="5" w:type="dxa"/>
      </w:tblCellMar>
    </w:tblPr>
    <w:tblGrid>
      <w:gridCol w:w="2621"/>
      <w:gridCol w:w="100"/>
      <w:gridCol w:w="5672"/>
      <w:gridCol w:w="100"/>
      <w:gridCol w:w="2624"/>
    </w:tblGrid>
    <w:tr>
      <w:trPr>
        <w:trHeight w:val="403" w:hRule="exact"/>
      </w:trPr>
      <w:tc>
        <w:tcPr>
          <w:tcW w:w="262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ableParagraph"/>
            <w:spacing w:lineRule="atLeast" w:line="200"/>
            <w:ind w:left="73" w:right="0" w:hanging="0"/>
            <w:jc w:val="left"/>
            <w:rPr/>
          </w:pPr>
          <w:r>
            <w:rPr/>
            <w:drawing>
              <wp:inline distT="0" distB="0" distL="0" distR="0">
                <wp:extent cx="1606550" cy="833120"/>
                <wp:effectExtent l="0" t="0" r="0" b="0"/>
                <wp:docPr id="2" name="image2.jpeg" descr="A logo for an event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.jpeg" descr="A logo for an event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6550" cy="833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0" w:type="dxa"/>
          <w:vMerge w:val="restart"/>
          <w:tcBorders>
            <w:left w:val="single" w:sz="4" w:space="0" w:color="000000"/>
          </w:tcBorders>
        </w:tcPr>
        <w:p>
          <w:pPr>
            <w:pStyle w:val="Normal"/>
            <w:widowControl/>
            <w:bidi w:val="0"/>
            <w:spacing w:lineRule="auto" w:line="276" w:before="0" w:after="200"/>
            <w:jc w:val="left"/>
            <w:rPr/>
          </w:pPr>
          <w:r>
            <w:rPr/>
          </w:r>
        </w:p>
      </w:tc>
      <w:tc>
        <w:tcPr>
          <w:tcW w:w="56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ableParagraph"/>
            <w:jc w:val="left"/>
            <w:rPr/>
          </w:pPr>
          <w:r>
            <w:rPr/>
          </w:r>
        </w:p>
      </w:tc>
      <w:tc>
        <w:tcPr>
          <w:tcW w:w="100" w:type="dxa"/>
          <w:tcBorders>
            <w:left w:val="single" w:sz="4" w:space="0" w:color="000000"/>
            <w:right w:val="single" w:sz="4" w:space="0" w:color="000000"/>
          </w:tcBorders>
        </w:tcPr>
        <w:p>
          <w:pPr>
            <w:pStyle w:val="Normal"/>
            <w:spacing w:before="0" w:after="200"/>
            <w:jc w:val="left"/>
            <w:rPr>
              <w:rFonts w:cs="Arial"/>
              <w:sz w:val="24"/>
              <w:szCs w:val="24"/>
            </w:rPr>
          </w:pPr>
          <w:r>
            <w:rPr>
              <w:rFonts w:cs="Arial"/>
              <w:sz w:val="24"/>
              <w:szCs w:val="24"/>
            </w:rPr>
          </w:r>
        </w:p>
      </w:tc>
      <w:tc>
        <w:tcPr>
          <w:tcW w:w="26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ableParagraph"/>
            <w:ind w:left="288" w:right="0" w:hanging="0"/>
            <w:jc w:val="left"/>
            <w:rPr/>
          </w:pPr>
          <w:r>
            <w:rPr/>
          </w:r>
        </w:p>
      </w:tc>
    </w:tr>
    <w:tr>
      <w:trPr>
        <w:trHeight w:val="62" w:hRule="exact"/>
      </w:trPr>
      <w:tc>
        <w:tcPr>
          <w:tcW w:w="2621" w:type="dxa"/>
          <w:vMerge w:val="continue"/>
          <w:tcBorders>
            <w:left w:val="single" w:sz="4" w:space="0" w:color="000000"/>
            <w:right w:val="single" w:sz="4" w:space="0" w:color="000000"/>
          </w:tcBorders>
        </w:tcPr>
        <w:p>
          <w:pPr>
            <w:pStyle w:val="Normal"/>
            <w:widowControl/>
            <w:suppressAutoHyphens w:val="true"/>
            <w:bidi w:val="0"/>
            <w:spacing w:lineRule="auto" w:line="276" w:before="0" w:after="200"/>
            <w:jc w:val="left"/>
            <w:rPr/>
          </w:pPr>
          <w:r>
            <w:rPr/>
          </w:r>
        </w:p>
      </w:tc>
      <w:tc>
        <w:tcPr>
          <w:tcW w:w="100" w:type="dxa"/>
          <w:vMerge w:val="continue"/>
          <w:tcBorders>
            <w:left w:val="single" w:sz="4" w:space="0" w:color="000000"/>
          </w:tcBorders>
        </w:tcPr>
        <w:p>
          <w:pPr>
            <w:pStyle w:val="Normal"/>
            <w:widowControl/>
            <w:suppressAutoHyphens w:val="true"/>
            <w:bidi w:val="0"/>
            <w:spacing w:lineRule="auto" w:line="276" w:before="0" w:after="200"/>
            <w:jc w:val="left"/>
            <w:rPr/>
          </w:pPr>
          <w:r>
            <w:rPr/>
          </w:r>
        </w:p>
      </w:tc>
      <w:tc>
        <w:tcPr>
          <w:tcW w:w="5672" w:type="dxa"/>
          <w:tcBorders>
            <w:top w:val="single" w:sz="4" w:space="0" w:color="000000"/>
            <w:bottom w:val="single" w:sz="4" w:space="0" w:color="000000"/>
          </w:tcBorders>
        </w:tcPr>
        <w:p>
          <w:pPr>
            <w:pStyle w:val="Normal"/>
            <w:spacing w:before="0" w:after="200"/>
            <w:jc w:val="left"/>
            <w:rPr>
              <w:rFonts w:cs="Arial"/>
              <w:sz w:val="24"/>
              <w:szCs w:val="24"/>
            </w:rPr>
          </w:pPr>
          <w:r>
            <w:rPr>
              <w:rFonts w:cs="Arial"/>
              <w:sz w:val="24"/>
              <w:szCs w:val="24"/>
            </w:rPr>
          </w:r>
        </w:p>
      </w:tc>
      <w:tc>
        <w:tcPr>
          <w:tcW w:w="100" w:type="dxa"/>
          <w:tcBorders/>
        </w:tcPr>
        <w:p>
          <w:pPr>
            <w:pStyle w:val="Normal"/>
            <w:spacing w:before="0" w:after="200"/>
            <w:jc w:val="left"/>
            <w:rPr>
              <w:rFonts w:cs="Arial"/>
              <w:sz w:val="24"/>
              <w:szCs w:val="24"/>
            </w:rPr>
          </w:pPr>
          <w:r>
            <w:rPr>
              <w:rFonts w:cs="Arial"/>
              <w:sz w:val="24"/>
              <w:szCs w:val="24"/>
            </w:rPr>
          </w:r>
        </w:p>
      </w:tc>
      <w:tc>
        <w:tcPr>
          <w:tcW w:w="2624" w:type="dxa"/>
          <w:tcBorders>
            <w:top w:val="single" w:sz="4" w:space="0" w:color="000000"/>
            <w:bottom w:val="single" w:sz="4" w:space="0" w:color="000000"/>
          </w:tcBorders>
        </w:tcPr>
        <w:p>
          <w:pPr>
            <w:pStyle w:val="Normal"/>
            <w:spacing w:before="0" w:after="200"/>
            <w:jc w:val="left"/>
            <w:rPr>
              <w:rFonts w:cs="Arial"/>
              <w:sz w:val="24"/>
              <w:szCs w:val="24"/>
            </w:rPr>
          </w:pPr>
          <w:r>
            <w:rPr>
              <w:rFonts w:cs="Arial"/>
              <w:sz w:val="24"/>
              <w:szCs w:val="24"/>
            </w:rPr>
          </w:r>
        </w:p>
      </w:tc>
    </w:tr>
    <w:tr>
      <w:trPr>
        <w:trHeight w:val="403" w:hRule="exact"/>
      </w:trPr>
      <w:tc>
        <w:tcPr>
          <w:tcW w:w="2621" w:type="dxa"/>
          <w:vMerge w:val="continue"/>
          <w:tcBorders>
            <w:left w:val="single" w:sz="4" w:space="0" w:color="000000"/>
            <w:right w:val="single" w:sz="4" w:space="0" w:color="000000"/>
          </w:tcBorders>
        </w:tcPr>
        <w:p>
          <w:pPr>
            <w:pStyle w:val="Normal"/>
            <w:widowControl/>
            <w:suppressAutoHyphens w:val="true"/>
            <w:bidi w:val="0"/>
            <w:spacing w:lineRule="auto" w:line="276" w:before="0" w:after="200"/>
            <w:jc w:val="left"/>
            <w:rPr/>
          </w:pPr>
          <w:r>
            <w:rPr/>
          </w:r>
        </w:p>
      </w:tc>
      <w:tc>
        <w:tcPr>
          <w:tcW w:w="100" w:type="dxa"/>
          <w:vMerge w:val="continue"/>
          <w:tcBorders>
            <w:left w:val="single" w:sz="4" w:space="0" w:color="000000"/>
          </w:tcBorders>
        </w:tcPr>
        <w:p>
          <w:pPr>
            <w:pStyle w:val="Normal"/>
            <w:widowControl/>
            <w:suppressAutoHyphens w:val="true"/>
            <w:bidi w:val="0"/>
            <w:spacing w:lineRule="auto" w:line="276" w:before="0" w:after="200"/>
            <w:jc w:val="left"/>
            <w:rPr/>
          </w:pPr>
          <w:r>
            <w:rPr/>
          </w:r>
        </w:p>
      </w:tc>
      <w:tc>
        <w:tcPr>
          <w:tcW w:w="56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ableParagraph"/>
            <w:jc w:val="left"/>
            <w:rPr/>
          </w:pPr>
          <w:r>
            <w:rPr/>
          </w:r>
        </w:p>
      </w:tc>
      <w:tc>
        <w:tcPr>
          <w:tcW w:w="100" w:type="dxa"/>
          <w:tcBorders>
            <w:left w:val="single" w:sz="4" w:space="0" w:color="000000"/>
            <w:right w:val="single" w:sz="4" w:space="0" w:color="000000"/>
          </w:tcBorders>
        </w:tcPr>
        <w:p>
          <w:pPr>
            <w:pStyle w:val="Normal"/>
            <w:spacing w:before="0" w:after="200"/>
            <w:jc w:val="left"/>
            <w:rPr>
              <w:rFonts w:cs="Arial"/>
              <w:sz w:val="24"/>
              <w:szCs w:val="24"/>
            </w:rPr>
          </w:pPr>
          <w:r>
            <w:rPr>
              <w:rFonts w:cs="Arial"/>
              <w:sz w:val="24"/>
              <w:szCs w:val="24"/>
            </w:rPr>
          </w:r>
        </w:p>
      </w:tc>
      <w:tc>
        <w:tcPr>
          <w:tcW w:w="26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ableParagraph"/>
            <w:jc w:val="left"/>
            <w:rPr/>
          </w:pPr>
          <w:r>
            <w:rPr>
              <w:rFonts w:eastAsia="Arial" w:cs="Arial"/>
              <w:sz w:val="24"/>
              <w:szCs w:val="24"/>
            </w:rPr>
            <w:t xml:space="preserve">Page </w:t>
          </w:r>
          <w:r>
            <w:rPr>
              <w:rFonts w:eastAsia="Arial" w:cs="Arial"/>
              <w:b/>
              <w:bCs/>
              <w:sz w:val="24"/>
              <w:szCs w:val="24"/>
            </w:rPr>
            <w:fldChar w:fldCharType="begin"/>
          </w:r>
          <w:r>
            <w:rPr>
              <w:sz w:val="24"/>
              <w:b/>
              <w:szCs w:val="24"/>
              <w:bCs/>
              <w:rFonts w:eastAsia="Arial" w:cs="Arial"/>
            </w:rPr>
            <w:instrText> PAGE </w:instrText>
          </w:r>
          <w:r>
            <w:rPr>
              <w:sz w:val="24"/>
              <w:b/>
              <w:szCs w:val="24"/>
              <w:bCs/>
              <w:rFonts w:eastAsia="Arial" w:cs="Arial"/>
            </w:rPr>
            <w:fldChar w:fldCharType="separate"/>
          </w:r>
          <w:r>
            <w:rPr>
              <w:sz w:val="24"/>
              <w:b/>
              <w:szCs w:val="24"/>
              <w:bCs/>
              <w:rFonts w:eastAsia="Arial" w:cs="Arial"/>
            </w:rPr>
            <w:t>1</w:t>
          </w:r>
          <w:r>
            <w:rPr>
              <w:sz w:val="24"/>
              <w:b/>
              <w:szCs w:val="24"/>
              <w:bCs/>
              <w:rFonts w:eastAsia="Arial" w:cs="Arial"/>
            </w:rPr>
            <w:fldChar w:fldCharType="end"/>
          </w:r>
          <w:r>
            <w:rPr>
              <w:rFonts w:eastAsia="Arial" w:cs="Arial"/>
              <w:sz w:val="24"/>
              <w:szCs w:val="24"/>
            </w:rPr>
            <w:t xml:space="preserve"> of </w:t>
          </w:r>
          <w:r>
            <w:rPr>
              <w:rFonts w:eastAsia="Arial" w:cs="Arial"/>
              <w:b/>
              <w:bCs/>
              <w:sz w:val="24"/>
              <w:szCs w:val="24"/>
            </w:rPr>
            <w:fldChar w:fldCharType="begin"/>
          </w:r>
          <w:r>
            <w:rPr>
              <w:sz w:val="24"/>
              <w:b/>
              <w:szCs w:val="24"/>
              <w:bCs/>
              <w:rFonts w:eastAsia="Arial" w:cs="Arial"/>
            </w:rPr>
            <w:instrText> NUMPAGES </w:instrText>
          </w:r>
          <w:r>
            <w:rPr>
              <w:sz w:val="24"/>
              <w:b/>
              <w:szCs w:val="24"/>
              <w:bCs/>
              <w:rFonts w:eastAsia="Arial" w:cs="Arial"/>
            </w:rPr>
            <w:fldChar w:fldCharType="separate"/>
          </w:r>
          <w:r>
            <w:rPr>
              <w:sz w:val="24"/>
              <w:b/>
              <w:szCs w:val="24"/>
              <w:bCs/>
              <w:rFonts w:eastAsia="Arial" w:cs="Arial"/>
            </w:rPr>
            <w:t>1</w:t>
          </w:r>
          <w:r>
            <w:rPr>
              <w:sz w:val="24"/>
              <w:b/>
              <w:szCs w:val="24"/>
              <w:bCs/>
              <w:rFonts w:eastAsia="Arial" w:cs="Arial"/>
            </w:rPr>
            <w:fldChar w:fldCharType="end"/>
          </w:r>
        </w:p>
      </w:tc>
    </w:tr>
    <w:tr>
      <w:trPr>
        <w:trHeight w:val="62" w:hRule="exact"/>
      </w:trPr>
      <w:tc>
        <w:tcPr>
          <w:tcW w:w="2621" w:type="dxa"/>
          <w:vMerge w:val="continue"/>
          <w:tcBorders>
            <w:left w:val="single" w:sz="4" w:space="0" w:color="000000"/>
            <w:right w:val="single" w:sz="4" w:space="0" w:color="000000"/>
          </w:tcBorders>
        </w:tcPr>
        <w:p>
          <w:pPr>
            <w:pStyle w:val="Normal"/>
            <w:widowControl/>
            <w:suppressAutoHyphens w:val="true"/>
            <w:bidi w:val="0"/>
            <w:spacing w:lineRule="auto" w:line="276" w:before="0" w:after="200"/>
            <w:jc w:val="left"/>
            <w:rPr/>
          </w:pPr>
          <w:r>
            <w:rPr/>
          </w:r>
        </w:p>
      </w:tc>
      <w:tc>
        <w:tcPr>
          <w:tcW w:w="100" w:type="dxa"/>
          <w:vMerge w:val="continue"/>
          <w:tcBorders>
            <w:left w:val="single" w:sz="4" w:space="0" w:color="000000"/>
          </w:tcBorders>
        </w:tcPr>
        <w:p>
          <w:pPr>
            <w:pStyle w:val="Normal"/>
            <w:widowControl/>
            <w:suppressAutoHyphens w:val="true"/>
            <w:bidi w:val="0"/>
            <w:spacing w:lineRule="auto" w:line="276" w:before="0" w:after="200"/>
            <w:jc w:val="left"/>
            <w:rPr/>
          </w:pPr>
          <w:r>
            <w:rPr/>
          </w:r>
        </w:p>
      </w:tc>
      <w:tc>
        <w:tcPr>
          <w:tcW w:w="5672" w:type="dxa"/>
          <w:tcBorders>
            <w:top w:val="single" w:sz="4" w:space="0" w:color="000000"/>
            <w:bottom w:val="single" w:sz="4" w:space="0" w:color="000000"/>
          </w:tcBorders>
        </w:tcPr>
        <w:p>
          <w:pPr>
            <w:pStyle w:val="Normal"/>
            <w:spacing w:before="0" w:after="200"/>
            <w:jc w:val="left"/>
            <w:rPr>
              <w:rFonts w:cs="Arial"/>
              <w:sz w:val="24"/>
              <w:szCs w:val="24"/>
            </w:rPr>
          </w:pPr>
          <w:r>
            <w:rPr>
              <w:rFonts w:cs="Arial"/>
              <w:sz w:val="24"/>
              <w:szCs w:val="24"/>
            </w:rPr>
          </w:r>
        </w:p>
      </w:tc>
      <w:tc>
        <w:tcPr>
          <w:tcW w:w="100" w:type="dxa"/>
          <w:tcBorders/>
        </w:tcPr>
        <w:p>
          <w:pPr>
            <w:pStyle w:val="Normal"/>
            <w:spacing w:before="0" w:after="200"/>
            <w:jc w:val="left"/>
            <w:rPr>
              <w:rFonts w:cs="Arial"/>
              <w:sz w:val="24"/>
              <w:szCs w:val="24"/>
            </w:rPr>
          </w:pPr>
          <w:r>
            <w:rPr>
              <w:rFonts w:cs="Arial"/>
              <w:sz w:val="24"/>
              <w:szCs w:val="24"/>
            </w:rPr>
          </w:r>
        </w:p>
      </w:tc>
      <w:tc>
        <w:tcPr>
          <w:tcW w:w="2624" w:type="dxa"/>
          <w:tcBorders>
            <w:top w:val="single" w:sz="4" w:space="0" w:color="000000"/>
            <w:bottom w:val="single" w:sz="4" w:space="0" w:color="000000"/>
          </w:tcBorders>
        </w:tcPr>
        <w:p>
          <w:pPr>
            <w:pStyle w:val="Normal"/>
            <w:spacing w:before="0" w:after="200"/>
            <w:jc w:val="left"/>
            <w:rPr>
              <w:rFonts w:cs="Arial"/>
              <w:sz w:val="24"/>
              <w:szCs w:val="24"/>
            </w:rPr>
          </w:pPr>
          <w:r>
            <w:rPr>
              <w:rFonts w:cs="Arial"/>
              <w:sz w:val="24"/>
              <w:szCs w:val="24"/>
            </w:rPr>
          </w:r>
        </w:p>
      </w:tc>
    </w:tr>
    <w:tr>
      <w:trPr>
        <w:trHeight w:val="403" w:hRule="exact"/>
      </w:trPr>
      <w:tc>
        <w:tcPr>
          <w:tcW w:w="2621" w:type="dxa"/>
          <w:vMerge w:val="continue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/>
            <w:suppressAutoHyphens w:val="true"/>
            <w:bidi w:val="0"/>
            <w:spacing w:lineRule="auto" w:line="276" w:before="0" w:after="200"/>
            <w:jc w:val="left"/>
            <w:rPr/>
          </w:pPr>
          <w:r>
            <w:rPr/>
          </w:r>
        </w:p>
      </w:tc>
      <w:tc>
        <w:tcPr>
          <w:tcW w:w="100" w:type="dxa"/>
          <w:vMerge w:val="continue"/>
          <w:tcBorders>
            <w:left w:val="single" w:sz="4" w:space="0" w:color="000000"/>
          </w:tcBorders>
        </w:tcPr>
        <w:p>
          <w:pPr>
            <w:pStyle w:val="Normal"/>
            <w:widowControl/>
            <w:suppressAutoHyphens w:val="true"/>
            <w:bidi w:val="0"/>
            <w:spacing w:lineRule="auto" w:line="276" w:before="0" w:after="200"/>
            <w:jc w:val="left"/>
            <w:rPr/>
          </w:pPr>
          <w:r>
            <w:rPr/>
          </w:r>
        </w:p>
      </w:tc>
      <w:tc>
        <w:tcPr>
          <w:tcW w:w="56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ableParagraph"/>
            <w:jc w:val="left"/>
            <w:rPr/>
          </w:pPr>
          <w:r>
            <w:rPr/>
          </w:r>
        </w:p>
      </w:tc>
      <w:tc>
        <w:tcPr>
          <w:tcW w:w="100" w:type="dxa"/>
          <w:tcBorders>
            <w:left w:val="single" w:sz="4" w:space="0" w:color="000000"/>
            <w:right w:val="single" w:sz="4" w:space="0" w:color="000000"/>
          </w:tcBorders>
        </w:tcPr>
        <w:p>
          <w:pPr>
            <w:pStyle w:val="Normal"/>
            <w:spacing w:before="0" w:after="200"/>
            <w:jc w:val="left"/>
            <w:rPr>
              <w:rFonts w:cs="Arial"/>
              <w:sz w:val="24"/>
              <w:szCs w:val="24"/>
            </w:rPr>
          </w:pPr>
          <w:r>
            <w:rPr>
              <w:rFonts w:cs="Arial"/>
              <w:sz w:val="24"/>
              <w:szCs w:val="24"/>
            </w:rPr>
          </w:r>
        </w:p>
      </w:tc>
      <w:tc>
        <w:tcPr>
          <w:tcW w:w="26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spacing w:before="0" w:after="200"/>
            <w:jc w:val="left"/>
            <w:rPr>
              <w:rFonts w:cs="Arial"/>
              <w:sz w:val="24"/>
              <w:szCs w:val="24"/>
            </w:rPr>
          </w:pPr>
          <w:r>
            <w:rPr>
              <w:rFonts w:cs="Arial"/>
              <w:sz w:val="24"/>
              <w:szCs w:val="24"/>
            </w:rPr>
          </w:r>
        </w:p>
      </w:tc>
    </w:tr>
  </w:tbl>
  <w:p>
    <w:pPr>
      <w:pStyle w:val="Normal"/>
      <w:spacing w:before="0" w:after="160"/>
      <w:ind w:left="0" w:hanging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Aptos" w:cs="" w:cstheme="minorBidi" w:eastAsiaTheme="minorHAnsi"/>
      <w:color w:val="auto"/>
      <w:kern w:val="2"/>
      <w:sz w:val="20"/>
      <w:szCs w:val="24"/>
      <w:lang w:val="en-GB" w:eastAsia="en-US" w:bidi="ar-SA"/>
      <w14:ligatures w14:val="standardContextual"/>
    </w:rPr>
  </w:style>
  <w:style w:type="paragraph" w:styleId="Heading1" w:customStyle="1">
    <w:name w:val="Heading 1"/>
    <w:next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ptos" w:cs="" w:cstheme="minorBidi" w:eastAsiaTheme="minorHAnsi"/>
      <w:b/>
      <w:color w:val="3465A4"/>
      <w:kern w:val="2"/>
      <w:sz w:val="28"/>
      <w:szCs w:val="24"/>
      <w:lang w:val="en-GB" w:eastAsia="en-US" w:bidi="ar-SA"/>
      <w14:ligatures w14:val="standardContextual"/>
    </w:rPr>
  </w:style>
  <w:style w:type="paragraph" w:styleId="Heading2" w:customStyle="1">
    <w:name w:val="Heading 2"/>
    <w:next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ptos" w:cs="" w:cstheme="minorBidi" w:eastAsiaTheme="minorHAnsi"/>
      <w:b/>
      <w:color w:val="5983B0"/>
      <w:kern w:val="2"/>
      <w:sz w:val="24"/>
      <w:szCs w:val="24"/>
      <w:lang w:val="en-GB" w:eastAsia="en-US" w:bidi="ar-SA"/>
      <w14:ligatures w14:val="standardContextual"/>
    </w:rPr>
  </w:style>
  <w:style w:type="paragraph" w:styleId="Heading3" w:customStyle="1">
    <w:name w:val="Heading 3"/>
    <w:next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ptos" w:cs="" w:cstheme="minorBidi" w:eastAsiaTheme="minorHAnsi"/>
      <w:b/>
      <w:color w:val="auto"/>
      <w:kern w:val="2"/>
      <w:sz w:val="20"/>
      <w:szCs w:val="24"/>
      <w:lang w:val="en-GB" w:eastAsia="en-US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c63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c63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c63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c63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c63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c63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67c63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b67c63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67c63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67c63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67c63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67c63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67c63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67c63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67c63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b67c63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67c63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b67c6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67c63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67c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c63"/>
    <w:rPr>
      <w:b/>
      <w:bCs/>
      <w:smallCaps/>
      <w:color w:val="0F4761" w:themeColor="accent1" w:themeShade="bf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67c6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67c63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b67c63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c63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c63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c63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b67c63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67c63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67c63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Bullet">
    <w:name w:val="List Bullet"/>
    <w:basedOn w:val="Normal"/>
    <w:qFormat/>
    <w:pPr>
      <w:numPr>
        <w:ilvl w:val="0"/>
        <w:numId w:val="1"/>
      </w:numPr>
      <w:outlineLvl w:val="0"/>
    </w:pPr>
    <w:rPr>
      <w:sz w:val="20"/>
    </w:rPr>
  </w:style>
  <w:style w:type="paragraph" w:styleId="TableParagraph">
    <w:name w:val="Table Paragraph"/>
    <w:basedOn w:val="Normal"/>
    <w:qFormat/>
    <w:pPr>
      <w:widowControl w:val="false"/>
      <w:spacing w:lineRule="auto" w:line="240" w:before="0" w:after="0"/>
      <w:ind w:left="288" w:right="0" w:hanging="0"/>
    </w:pPr>
    <w:rPr>
      <w:rFonts w:ascii="Arial" w:hAnsi="Arial" w:eastAsia="Cambria"/>
      <w:sz w:val="24"/>
    </w:rPr>
  </w:style>
  <w:style w:type="numbering" w:styleId="NoList" w:default="1">
    <w:name w:val="No List"/>
    <w:uiPriority w:val="99"/>
    <w:semiHidden/>
    <w:unhideWhenUsed/>
    <w:qFormat/>
  </w:style>
  <w:style w:type="numbering" w:styleId="Bullet">
    <w:name w:val="Bullet •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lades.nextstrain.org/dataset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B2063-C1FC-4CEB-A6C7-81AD9FA01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LibreOffice/6.4.7.2$Linux_X86_64 LibreOffice_project/40$Build-2</Application>
  <Pages>1</Pages>
  <Words>397</Words>
  <Characters>2297</Characters>
  <CharactersWithSpaces>2674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2024-11-26T18:36:00Z</dcterms:created>
  <dc:creator>Kevin De Castro Cogle</dc:creator>
  <dc:description/>
  <dc:language>en-US</dc:language>
  <cp:lastModifiedBy/>
  <dcterms:modified xsi:type="dcterms:W3CDTF">2025-02-27T16:29:46Z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endeley Recent Style Id 0_1">
    <vt:lpwstr>http://www.zotero.org/styles/american-medical-association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Id 2_1">
    <vt:lpwstr>http://www.zotero.org/styles/american-sociological-association</vt:lpwstr>
  </property>
  <property fmtid="{D5CDD505-2E9C-101B-9397-08002B2CF9AE}" pid="9" name="Mendeley Recent Style Id 3_1">
    <vt:lpwstr>http://www.zotero.org/styles/chicago-author-date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Id 5_1">
    <vt:lpwstr>http://www.zotero.org/styles/foods</vt:lpwstr>
  </property>
  <property fmtid="{D5CDD505-2E9C-101B-9397-08002B2CF9AE}" pid="12" name="Mendeley Recent Style Id 6_1">
    <vt:lpwstr>http://www.zotero.org/styles/ieee</vt:lpwstr>
  </property>
  <property fmtid="{D5CDD505-2E9C-101B-9397-08002B2CF9AE}" pid="13" name="Mendeley Recent Style Id 7_1">
    <vt:lpwstr>http://www.zotero.org/styles/modern-language-association</vt:lpwstr>
  </property>
  <property fmtid="{D5CDD505-2E9C-101B-9397-08002B2CF9AE}" pid="14" name="Mendeley Recent Style Id 8_1">
    <vt:lpwstr>http://www.zotero.org/styles/nature</vt:lpwstr>
  </property>
  <property fmtid="{D5CDD505-2E9C-101B-9397-08002B2CF9AE}" pid="15" name="Mendeley Recent Style Id 9_1">
    <vt:lpwstr>http://www.zotero.org/styles/zotero-to-endnote-title</vt:lpwstr>
  </property>
  <property fmtid="{D5CDD505-2E9C-101B-9397-08002B2CF9AE}" pid="16" name="Mendeley Recent Style Name 0_1">
    <vt:lpwstr>American Medical Association 11th edition</vt:lpwstr>
  </property>
  <property fmtid="{D5CDD505-2E9C-101B-9397-08002B2CF9AE}" pid="17" name="Mendeley Recent Style Name 1_1">
    <vt:lpwstr>American Psychological Association 7th edition</vt:lpwstr>
  </property>
  <property fmtid="{D5CDD505-2E9C-101B-9397-08002B2CF9AE}" pid="18" name="Mendeley Recent Style Name 2_1">
    <vt:lpwstr>American Sociological Association 6th edition</vt:lpwstr>
  </property>
  <property fmtid="{D5CDD505-2E9C-101B-9397-08002B2CF9AE}" pid="19" name="Mendeley Recent Style Name 3_1">
    <vt:lpwstr>Chicago Manual of Style 17th edition (author-date)</vt:lpwstr>
  </property>
  <property fmtid="{D5CDD505-2E9C-101B-9397-08002B2CF9AE}" pid="20" name="Mendeley Recent Style Name 4_1">
    <vt:lpwstr>Cite Them Right 10th edition - Harvard</vt:lpwstr>
  </property>
  <property fmtid="{D5CDD505-2E9C-101B-9397-08002B2CF9AE}" pid="21" name="Mendeley Recent Style Name 5_1">
    <vt:lpwstr>Foods</vt:lpwstr>
  </property>
  <property fmtid="{D5CDD505-2E9C-101B-9397-08002B2CF9AE}" pid="22" name="Mendeley Recent Style Name 6_1">
    <vt:lpwstr>IEEE</vt:lpwstr>
  </property>
  <property fmtid="{D5CDD505-2E9C-101B-9397-08002B2CF9AE}" pid="23" name="Mendeley Recent Style Name 7_1">
    <vt:lpwstr>Modern Language Association 8th edition</vt:lpwstr>
  </property>
  <property fmtid="{D5CDD505-2E9C-101B-9397-08002B2CF9AE}" pid="24" name="Mendeley Recent Style Name 8_1">
    <vt:lpwstr>Nature</vt:lpwstr>
  </property>
  <property fmtid="{D5CDD505-2E9C-101B-9397-08002B2CF9AE}" pid="25" name="Mendeley Recent Style Name 9_1">
    <vt:lpwstr>Zotero to EndNote Title </vt:lpwstr>
  </property>
  <property fmtid="{D5CDD505-2E9C-101B-9397-08002B2CF9AE}" pid="26" name="ScaleCrop">
    <vt:bool>0</vt:bool>
  </property>
  <property fmtid="{D5CDD505-2E9C-101B-9397-08002B2CF9AE}" pid="27" name="ShareDoc">
    <vt:bool>0</vt:bool>
  </property>
</Properties>
</file>