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-99695</wp:posOffset>
                </wp:positionH>
                <wp:positionV relativeFrom="paragraph">
                  <wp:posOffset>59055</wp:posOffset>
                </wp:positionV>
                <wp:extent cx="7277735" cy="44488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040" cy="444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7.85pt;margin-top:4.65pt;width:572.95pt;height:350.2pt">
                <w10:wrap type="none"/>
                <v:fill o:detectmouseclick="t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Purpose of the EQA: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18"/>
          <w:szCs w:val="18"/>
        </w:rPr>
      </w:pPr>
      <w:r>
        <w:rPr>
          <w:sz w:val="18"/>
          <w:szCs w:val="18"/>
        </w:rPr>
        <w:t>Assess the accuracy of RSV sequencing.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18"/>
          <w:szCs w:val="18"/>
        </w:rPr>
      </w:pPr>
      <w:r>
        <w:rPr>
          <w:sz w:val="18"/>
          <w:szCs w:val="18"/>
        </w:rPr>
        <w:t>Measure the quality of viral sequencing.</w:t>
      </w:r>
    </w:p>
    <w:p>
      <w:pPr>
        <w:pStyle w:val="Normal"/>
        <w:ind w:left="462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Appendix 1 provides a summary of the procedures for specimen preparation, data submission, and analysis, along with details on result validation, quality metrics, and laboratory compliance.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Specimens for this EQA were distributed by UK NEQAS Microbiology as part of the WHO Molecular Detection of RSV Distribution 5791. Specimens with detectable virus are either sequenced in-house or sent to a reference laboratory following routine procedures.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As part of the sequencing result submission, participants complete a survey on sequencing technology. FASTA, FASTQ and/or BAM files are evaluated for sequencing quality metrics, including read coverage and accuracy based on the comparison to GISAID reference sequences </w:t>
      </w:r>
      <w:r>
        <w:rPr>
          <w:iCs/>
          <w:sz w:val="18"/>
          <w:szCs w:val="18"/>
        </w:rPr>
        <w:t xml:space="preserve">EPI_ISL_412866 (RSV A) or </w:t>
      </w:r>
      <w:r>
        <w:rPr>
          <w:rFonts w:ascii="Arial;sans-serif" w:hAnsi="Arial;sans-serif"/>
          <w:iCs/>
          <w:sz w:val="18"/>
          <w:szCs w:val="18"/>
          <w:lang w:val="en-US"/>
        </w:rPr>
        <w:t xml:space="preserve">EPI_ISL_1653999 (RSV B) </w:t>
      </w:r>
      <w:r>
        <w:rPr>
          <w:sz w:val="18"/>
          <w:szCs w:val="18"/>
        </w:rPr>
        <w:t xml:space="preserve">(see Appendix 1 for definitions).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Each participant receives a report outlining the comparison to: 1-a reference lab which sequenced the distributed samples, and 2-against the aggregated results submitted by other participants.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Additionally, the comparison to GISAID reference sequences enables lineage assignment of the submitted sequence data using Nextclade (</w:t>
      </w:r>
      <w:hyperlink r:id="rId2">
        <w:r>
          <w:rPr>
            <w:rStyle w:val="InternetLink"/>
            <w:sz w:val="18"/>
            <w:szCs w:val="18"/>
          </w:rPr>
          <w:t>https://clades.nextstrain.org/dataset</w:t>
        </w:r>
      </w:hyperlink>
      <w:r>
        <w:rPr>
          <w:sz w:val="18"/>
          <w:szCs w:val="18"/>
        </w:rPr>
        <w:t>).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A total of 79 specimen sets were distributed with 75 (94.9%) participants returning results within the specified period. Overall performance for this distribution was excellent with 90.8% of participants returning the intended result for the detection of RSV part, whilst 89.9% of participants returned a correct result for the RSV typing part of the EQA.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In the Figures on page 3 and subsequent pages results are presented for the different  Quality Metrics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Turn around time: The time taken to report your results was 11-days. This information is provided for your own use and does not form part of your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>Enquiries:</w:t>
      </w:r>
      <w:r>
        <w:rPr>
          <w:sz w:val="18"/>
          <w:szCs w:val="18"/>
        </w:rPr>
        <w:t xml:space="preserve"> Pre-distribution test results are available should you experience a technical failure and wish to discuss the results. Written enquiries about this distribution should be addressed to Dr Sanjiv Rughooputh at the email address below.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>Acknowledgements:</w:t>
      </w:r>
      <w:r>
        <w:rPr>
          <w:sz w:val="18"/>
          <w:szCs w:val="18"/>
        </w:rPr>
        <w:t xml:space="preserve"> We would like to thank NICD, VIDRL and UKHSA for the provision of clinical isolates, UKHSA Manchester, VRD, Micropathology Ltd for their kind assistance with pre-distribution tests, and Cranfield University for bioinformatics analysis.</w:t>
      </w:r>
    </w:p>
    <w:p>
      <w:pPr>
        <w:pStyle w:val="Normal"/>
        <w:rPr>
          <w:sz w:val="18"/>
          <w:szCs w:val="18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562" w:right="562" w:header="720" w:top="778" w:footer="0" w:bottom="562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76482950"/>
    </w:sdtPr>
    <w:sdtContent>
      <w:p>
        <w:pPr>
          <w:pStyle w:val="Footer"/>
          <w:jc w:val="right"/>
          <w:rPr/>
        </w:pPr>
        <w:r>
          <w:rPr/>
        </w:r>
      </w:p>
    </w:sdtContent>
  </w:sdt>
  <w:tbl>
    <w:tblPr>
      <w:tblW w:w="11190" w:type="dxa"/>
      <w:jc w:val="left"/>
      <w:tblInd w:w="8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76"/>
      <w:gridCol w:w="3284"/>
      <w:gridCol w:w="7030"/>
    </w:tblGrid>
    <w:tr>
      <w:trPr>
        <w:trHeight w:val="840" w:hRule="atLeast"/>
      </w:trPr>
      <w:tc>
        <w:tcPr>
          <w:tcW w:w="876" w:type="dxa"/>
          <w:vMerge w:val="restart"/>
          <w:tcBorders/>
        </w:tcPr>
        <w:p>
          <w:pPr>
            <w:pStyle w:val="Footer"/>
            <w:rPr/>
          </w:pPr>
          <w:r>
            <w:rPr/>
            <w:drawing>
              <wp:inline distT="0" distB="0" distL="0" distR="0">
                <wp:extent cx="411480" cy="400050"/>
                <wp:effectExtent l="0" t="0" r="0" b="0"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48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Merge w:val="restart"/>
          <w:tcBorders/>
        </w:tcPr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Operated by UK Health Security Agency</w:t>
          </w:r>
        </w:p>
        <w:p>
          <w:pPr>
            <w:pStyle w:val="Footer"/>
            <w:rPr>
              <w:color w:val="4F81BD"/>
              <w:sz w:val="16"/>
              <w:szCs w:val="16"/>
              <w:lang w:val="fr-FR"/>
            </w:rPr>
          </w:pPr>
          <w:r>
            <w:rPr>
              <w:color w:val="4F81BD"/>
              <w:sz w:val="16"/>
              <w:szCs w:val="16"/>
              <w:lang w:val="fr-FR"/>
            </w:rPr>
            <w:t>61 Colindale Avenue</w:t>
          </w:r>
        </w:p>
        <w:p>
          <w:pPr>
            <w:pStyle w:val="Footer"/>
            <w:rPr>
              <w:color w:val="4F81BD"/>
              <w:sz w:val="16"/>
              <w:szCs w:val="16"/>
              <w:lang w:val="fr-FR"/>
            </w:rPr>
          </w:pPr>
          <w:r>
            <w:rPr>
              <w:color w:val="4F81BD"/>
              <w:sz w:val="16"/>
              <w:szCs w:val="16"/>
              <w:lang w:val="fr-FR"/>
            </w:rPr>
            <w:t>Colindale</w:t>
          </w:r>
        </w:p>
        <w:p>
          <w:pPr>
            <w:pStyle w:val="Footer"/>
            <w:rPr>
              <w:color w:val="4F81BD"/>
              <w:sz w:val="16"/>
              <w:szCs w:val="16"/>
              <w:lang w:val="fr-FR"/>
            </w:rPr>
          </w:pPr>
          <w:r>
            <w:rPr>
              <w:color w:val="4F81BD"/>
              <w:sz w:val="16"/>
              <w:szCs w:val="16"/>
              <w:lang w:val="fr-FR"/>
            </w:rPr>
            <w:t>London NW9 5EQ</w:t>
          </w:r>
        </w:p>
      </w:tc>
      <w:tc>
        <w:tcPr>
          <w:tcW w:w="7030" w:type="dxa"/>
          <w:tcBorders/>
        </w:tcPr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© Copyright. The data in UK NEQAS reports are confidential. Participants must consult the Scheme Organiser before quoting data from the scheme.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UK NEQAS for Microbiology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PO Box 63003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London NW9 1GH</w:t>
          </w:r>
        </w:p>
      </w:tc>
    </w:tr>
    <w:tr>
      <w:trPr>
        <w:trHeight w:val="285" w:hRule="atLeast"/>
      </w:trPr>
      <w:tc>
        <w:tcPr>
          <w:tcW w:w="876" w:type="dxa"/>
          <w:vMerge w:val="continue"/>
          <w:tcBorders/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3284" w:type="dxa"/>
          <w:vMerge w:val="continue"/>
          <w:tcBorders/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7030" w:type="dxa"/>
          <w:tcBorders/>
        </w:tcPr>
        <w:p>
          <w:pPr>
            <w:pStyle w:val="Footer"/>
            <w:jc w:val="right"/>
            <w:rPr/>
          </w:pPr>
          <w:r>
            <w:rPr>
              <w:b/>
              <w:bCs/>
              <w:color w:val="4F81BD"/>
              <w:sz w:val="18"/>
              <w:szCs w:val="18"/>
            </w:rPr>
            <w:t>Printed on :</w:t>
          </w:r>
          <w:r>
            <w:rPr>
              <w:b/>
              <w:bCs/>
              <w:color w:val="4F81BD"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bCs/>
              <w:color w:val="4F81BD"/>
            </w:rPr>
            <w:instrText> DATE \@"dd\/MM\/yyyy\ HH:mm" </w:instrText>
          </w:r>
          <w:r>
            <w:rPr>
              <w:sz w:val="18"/>
              <w:b/>
              <w:szCs w:val="18"/>
              <w:bCs/>
              <w:color w:val="4F81BD"/>
            </w:rPr>
            <w:fldChar w:fldCharType="separate"/>
          </w:r>
          <w:r>
            <w:rPr>
              <w:sz w:val="18"/>
              <w:b/>
              <w:szCs w:val="18"/>
              <w:bCs/>
              <w:color w:val="4F81BD"/>
            </w:rPr>
            <w:t>27/02/2025 17:44</w:t>
          </w:r>
          <w:r>
            <w:rPr>
              <w:sz w:val="18"/>
              <w:b/>
              <w:szCs w:val="18"/>
              <w:bCs/>
              <w:color w:val="4F81BD"/>
            </w:rPr>
            <w:fldChar w:fldCharType="end"/>
          </w:r>
        </w:p>
      </w:tc>
    </w:tr>
  </w:tbl>
  <w:p>
    <w:pPr>
      <w:pStyle w:val="Normal"/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tbl>
    <w:tblPr>
      <w:tblW w:w="11117" w:type="dxa"/>
      <w:jc w:val="left"/>
      <w:tblInd w:w="0" w:type="dxa"/>
      <w:tblCellMar>
        <w:top w:w="0" w:type="dxa"/>
        <w:left w:w="5" w:type="dxa"/>
        <w:bottom w:w="0" w:type="dxa"/>
        <w:right w:w="5" w:type="dxa"/>
      </w:tblCellMar>
      <w:tblLook w:val="04a0" w:noHBand="0" w:noVBand="1" w:firstColumn="1" w:lastRow="0" w:lastColumn="0" w:firstRow="1"/>
    </w:tblPr>
    <w:tblGrid>
      <w:gridCol w:w="2621"/>
      <w:gridCol w:w="99"/>
      <w:gridCol w:w="5673"/>
      <w:gridCol w:w="100"/>
      <w:gridCol w:w="2624"/>
    </w:tblGrid>
    <w:tr>
      <w:trPr>
        <w:trHeight w:val="403" w:hRule="exact"/>
      </w:trPr>
      <w:tc>
        <w:tcPr>
          <w:tcW w:w="26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spacing w:lineRule="atLeast" w:line="200"/>
            <w:ind w:left="73" w:hanging="0"/>
            <w:rPr/>
          </w:pPr>
          <w:r>
            <w:rPr/>
            <w:drawing>
              <wp:inline distT="0" distB="0" distL="0" distR="0">
                <wp:extent cx="1606550" cy="833120"/>
                <wp:effectExtent l="0" t="0" r="0" b="0"/>
                <wp:docPr id="2" name="image2.jpeg" descr="A logo for an even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eg" descr="A logo for an event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6550" cy="833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" w:type="dxa"/>
          <w:vMerge w:val="restart"/>
          <w:tcBorders>
            <w:lef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56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rPr/>
          </w:pPr>
          <w:r>
            <w:rPr/>
          </w:r>
        </w:p>
      </w:tc>
      <w:tc>
        <w:tcPr>
          <w:tcW w:w="100" w:type="dxa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26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rPr/>
          </w:pPr>
          <w:r>
            <w:rPr/>
          </w:r>
        </w:p>
      </w:tc>
    </w:tr>
    <w:tr>
      <w:trPr>
        <w:trHeight w:val="62" w:hRule="exact"/>
      </w:trPr>
      <w:tc>
        <w:tcPr>
          <w:tcW w:w="2621" w:type="dxa"/>
          <w:vMerge w:val="continue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99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5673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100" w:type="dxa"/>
          <w:tcBorders/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2624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</w:tr>
    <w:tr>
      <w:trPr>
        <w:trHeight w:val="403" w:hRule="exact"/>
      </w:trPr>
      <w:tc>
        <w:tcPr>
          <w:tcW w:w="2621" w:type="dxa"/>
          <w:vMerge w:val="continue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99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56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rPr/>
          </w:pPr>
          <w:r>
            <w:rPr/>
          </w:r>
        </w:p>
      </w:tc>
      <w:tc>
        <w:tcPr>
          <w:tcW w:w="100" w:type="dxa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26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rPr/>
          </w:pPr>
          <w:r>
            <w:rPr>
              <w:rFonts w:eastAsia="Arial" w:cs="Arial"/>
            </w:rPr>
            <w:t xml:space="preserve">Page </w:t>
          </w:r>
          <w:r>
            <w:rPr>
              <w:rFonts w:eastAsia="Arial" w:cs="Arial"/>
              <w:b/>
              <w:bCs/>
            </w:rPr>
            <w:fldChar w:fldCharType="begin"/>
          </w:r>
          <w:r>
            <w:rPr>
              <w:b/>
              <w:bCs/>
              <w:rFonts w:eastAsia="Arial" w:cs="Arial"/>
            </w:rPr>
            <w:instrText> PAGE </w:instrText>
          </w:r>
          <w:r>
            <w:rPr>
              <w:b/>
              <w:bCs/>
              <w:rFonts w:eastAsia="Arial" w:cs="Arial"/>
            </w:rPr>
            <w:fldChar w:fldCharType="separate"/>
          </w:r>
          <w:r>
            <w:rPr>
              <w:b/>
              <w:bCs/>
              <w:rFonts w:eastAsia="Arial" w:cs="Arial"/>
            </w:rPr>
            <w:t>1</w:t>
          </w:r>
          <w:r>
            <w:rPr>
              <w:b/>
              <w:bCs/>
              <w:rFonts w:eastAsia="Arial" w:cs="Arial"/>
            </w:rPr>
            <w:fldChar w:fldCharType="end"/>
          </w:r>
          <w:r>
            <w:rPr>
              <w:rFonts w:eastAsia="Arial" w:cs="Arial"/>
            </w:rPr>
            <w:t xml:space="preserve"> of </w:t>
          </w:r>
          <w:r>
            <w:rPr>
              <w:rFonts w:eastAsia="Arial" w:cs="Arial"/>
              <w:b/>
              <w:bCs/>
            </w:rPr>
            <w:fldChar w:fldCharType="begin"/>
          </w:r>
          <w:r>
            <w:rPr>
              <w:b/>
              <w:bCs/>
              <w:rFonts w:eastAsia="Arial" w:cs="Arial"/>
            </w:rPr>
            <w:instrText> NUMPAGES </w:instrText>
          </w:r>
          <w:r>
            <w:rPr>
              <w:b/>
              <w:bCs/>
              <w:rFonts w:eastAsia="Arial" w:cs="Arial"/>
            </w:rPr>
            <w:fldChar w:fldCharType="separate"/>
          </w:r>
          <w:r>
            <w:rPr>
              <w:b/>
              <w:bCs/>
              <w:rFonts w:eastAsia="Arial" w:cs="Arial"/>
            </w:rPr>
            <w:t>1</w:t>
          </w:r>
          <w:r>
            <w:rPr>
              <w:b/>
              <w:bCs/>
              <w:rFonts w:eastAsia="Arial" w:cs="Arial"/>
            </w:rPr>
            <w:fldChar w:fldCharType="end"/>
          </w:r>
        </w:p>
      </w:tc>
    </w:tr>
    <w:tr>
      <w:trPr>
        <w:trHeight w:val="62" w:hRule="exact"/>
      </w:trPr>
      <w:tc>
        <w:tcPr>
          <w:tcW w:w="2621" w:type="dxa"/>
          <w:vMerge w:val="continue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99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5673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100" w:type="dxa"/>
          <w:tcBorders/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2624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</w:tr>
    <w:tr>
      <w:trPr>
        <w:trHeight w:val="403" w:hRule="exact"/>
      </w:trPr>
      <w:tc>
        <w:tcPr>
          <w:tcW w:w="2621" w:type="dxa"/>
          <w:vMerge w:val="continue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99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56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rPr/>
          </w:pPr>
          <w:r>
            <w:rPr/>
          </w:r>
        </w:p>
      </w:tc>
      <w:tc>
        <w:tcPr>
          <w:tcW w:w="100" w:type="dxa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26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</w:tr>
  </w:tbl>
  <w:p>
    <w:pPr>
      <w:pStyle w:val="Normal"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ptos" w:cs="" w:cstheme="minorBidi" w:eastAsiaTheme="minorHAnsi"/>
      <w:color w:val="auto"/>
      <w:kern w:val="2"/>
      <w:sz w:val="20"/>
      <w:szCs w:val="24"/>
      <w:lang w:val="en-GB"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6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6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6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6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63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63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1"/>
    <w:uiPriority w:val="9"/>
    <w:qFormat/>
    <w:rsid w:val="00b67c6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1"/>
    <w:uiPriority w:val="9"/>
    <w:semiHidden/>
    <w:qFormat/>
    <w:rsid w:val="00b67c6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1"/>
    <w:uiPriority w:val="9"/>
    <w:semiHidden/>
    <w:qFormat/>
    <w:rsid w:val="00b67c63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67c63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67c63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67c63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67c63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67c63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67c63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b67c6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67c6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67c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7c63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67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c63"/>
    <w:rPr>
      <w:b/>
      <w:bCs/>
      <w:smallCaps/>
      <w:color w:val="0F4761" w:themeColor="accent1" w:themeShade="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67c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67c63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Heading11" w:customStyle="1">
    <w:name w:val="Heading 11"/>
    <w:next w:val="Normal"/>
    <w:link w:val="Heading1Char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ptos" w:cs=""/>
      <w:b/>
      <w:color w:val="3465A4"/>
      <w:kern w:val="2"/>
      <w:sz w:val="28"/>
      <w:szCs w:val="24"/>
      <w:lang w:val="en-GB" w:eastAsia="en-US" w:bidi="ar-SA"/>
    </w:rPr>
  </w:style>
  <w:style w:type="paragraph" w:styleId="Heading21" w:customStyle="1">
    <w:name w:val="Heading 21"/>
    <w:next w:val="Normal"/>
    <w:link w:val="Heading2Char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ptos" w:cs=""/>
      <w:b/>
      <w:color w:val="5983B0"/>
      <w:kern w:val="2"/>
      <w:sz w:val="20"/>
      <w:szCs w:val="24"/>
      <w:lang w:val="en-GB" w:eastAsia="en-US" w:bidi="ar-SA"/>
    </w:rPr>
  </w:style>
  <w:style w:type="paragraph" w:styleId="Heading31" w:customStyle="1">
    <w:name w:val="Heading 31"/>
    <w:next w:val="Normal"/>
    <w:link w:val="Heading3Char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ptos" w:cs="" w:cstheme="minorBidi" w:eastAsiaTheme="minorHAnsi"/>
      <w:b/>
      <w:color w:val="auto"/>
      <w:kern w:val="2"/>
      <w:sz w:val="20"/>
      <w:szCs w:val="24"/>
      <w:lang w:val="en-GB" w:eastAsia="en-US" w:bidi="ar-SA"/>
      <w14:ligatures w14:val="standardContextu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c63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63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c6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c6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6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67c6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67c6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">
    <w:name w:val="List Bullet"/>
    <w:basedOn w:val="Normal"/>
    <w:qFormat/>
    <w:pPr>
      <w:numPr>
        <w:ilvl w:val="0"/>
        <w:numId w:val="2"/>
      </w:numPr>
      <w:outlineLvl w:val="0"/>
    </w:pPr>
    <w:rPr/>
  </w:style>
  <w:style w:type="paragraph" w:styleId="TableParagraph" w:customStyle="1">
    <w:name w:val="Table Paragraph"/>
    <w:basedOn w:val="Normal"/>
    <w:qFormat/>
    <w:pPr>
      <w:widowControl w:val="false"/>
      <w:ind w:left="288" w:hanging="0"/>
    </w:pPr>
    <w:rPr>
      <w:rFonts w:eastAsia="Cambria"/>
      <w:sz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 •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564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Custom">
    <w:name w:val="Table Grid Custom"/>
    <w:basedOn w:val="TableGrid1"/>
    <w:uiPriority w:val="99"/>
    <w:rsid w:val="0085647e"/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647e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ades.nextstrain.org/dataset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B2063-C1FC-4CEB-A6C7-81AD9FA01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1</Pages>
  <Words>397</Words>
  <Characters>2297</Characters>
  <CharactersWithSpaces>2674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2025-02-27T16:33:00Z</dcterms:created>
  <dc:creator>Kevin De Castro Cogle</dc:creator>
  <dc:description/>
  <dc:language>en-US</dc:language>
  <cp:lastModifiedBy/>
  <dcterms:modified xsi:type="dcterms:W3CDTF">2025-02-27T17:44:17Z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Id 2_1">
    <vt:lpwstr>http://www.zotero.org/styles/american-sociological-association</vt:lpwstr>
  </property>
  <property fmtid="{D5CDD505-2E9C-101B-9397-08002B2CF9AE}" pid="9" name="Mendeley Recent Style Id 3_1">
    <vt:lpwstr>http://www.zotero.org/styles/chicago-author-date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Id 5_1">
    <vt:lpwstr>http://www.zotero.org/styles/foods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http://www.zotero.org/styles/modern-language-association</vt:lpwstr>
  </property>
  <property fmtid="{D5CDD505-2E9C-101B-9397-08002B2CF9AE}" pid="14" name="Mendeley Recent Style Id 8_1">
    <vt:lpwstr>http://www.zotero.org/styles/nature</vt:lpwstr>
  </property>
  <property fmtid="{D5CDD505-2E9C-101B-9397-08002B2CF9AE}" pid="15" name="Mendeley Recent Style Id 9_1">
    <vt:lpwstr>http://www.zotero.org/styles/zotero-to-endnote-title</vt:lpwstr>
  </property>
  <property fmtid="{D5CDD505-2E9C-101B-9397-08002B2CF9AE}" pid="16" name="Mendeley Recent Style Name 0_1">
    <vt:lpwstr>American Medical Association 11th edition</vt:lpwstr>
  </property>
  <property fmtid="{D5CDD505-2E9C-101B-9397-08002B2CF9AE}" pid="17" name="Mendeley Recent Style Name 1_1">
    <vt:lpwstr>American Psychological Association 7th edition</vt:lpwstr>
  </property>
  <property fmtid="{D5CDD505-2E9C-101B-9397-08002B2CF9AE}" pid="18" name="Mendeley Recent Style Name 2_1">
    <vt:lpwstr>American Sociological Association 6th edition</vt:lpwstr>
  </property>
  <property fmtid="{D5CDD505-2E9C-101B-9397-08002B2CF9AE}" pid="19" name="Mendeley Recent Style Name 3_1">
    <vt:lpwstr>Chicago Manual of Style 17th edition (author-date)</vt:lpwstr>
  </property>
  <property fmtid="{D5CDD505-2E9C-101B-9397-08002B2CF9AE}" pid="20" name="Mendeley Recent Style Name 4_1">
    <vt:lpwstr>Cite Them Right 10th edition - Harvard</vt:lpwstr>
  </property>
  <property fmtid="{D5CDD505-2E9C-101B-9397-08002B2CF9AE}" pid="21" name="Mendeley Recent Style Name 5_1">
    <vt:lpwstr>Foods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Language Association 8th edition</vt:lpwstr>
  </property>
  <property fmtid="{D5CDD505-2E9C-101B-9397-08002B2CF9AE}" pid="24" name="Mendeley Recent Style Name 8_1">
    <vt:lpwstr>Nature</vt:lpwstr>
  </property>
  <property fmtid="{D5CDD505-2E9C-101B-9397-08002B2CF9AE}" pid="25" name="Mendeley Recent Style Name 9_1">
    <vt:lpwstr>Zotero to EndNote Title </vt:lpwstr>
  </property>
  <property fmtid="{D5CDD505-2E9C-101B-9397-08002B2CF9AE}" pid="26" name="ScaleCrop">
    <vt:bool>0</vt:bool>
  </property>
  <property fmtid="{D5CDD505-2E9C-101B-9397-08002B2CF9AE}" pid="27" name="ShareDoc">
    <vt:bool>0</vt:bool>
  </property>
</Properties>
</file>