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rStyle w:val="Heading2Char"/>
        </w:rPr>
        <w:tab/>
        <w:t>Feb 06, 2025</w:t>
      </w:r>
    </w:p>
    <w:p>
      <w:pPr>
        <w:pStyle w:val="Title"/>
      </w:pPr>
      <w:r>
        <w:t>Quality Metrics Report</w:t>
      </w:r>
    </w:p>
    <w:p>
      <w:r>
        <w:rPr>
          <w:b/>
        </w:rPr>
        <w:t>Introduction</w:t>
      </w:r>
    </w:p>
    <w:p>
      <w:r>
        <w:t>Thank you for participating in the xxxxxxxxxxxxxxxxxxxxxxxxxx of UK NEQAS Microbiology pilot External Quality Assessment (EQA) for xxxxxxxxxx.</w:t>
        <w:br/>
        <w:br/>
        <w:t>Samples for this EQA are distributed by UK NEQAS Microbiology as part of the xxxxxxxxxxxxxxxxxxxx and those with detectable virus are either sequenced inhouse or forwarded to the appropriate laboratory for sequencing according to routine practice. Distribution and sample numbering is consistent across both EQAs.</w:t>
        <w:br/>
        <w:br/>
        <w:t>A survey of sequencing technology is completed as part of the sequencing result upload process. FASTA files are assessed for sequencing sensitivity and precision which are combined to give an F-score (see Appendix 1 for definitions); a variant consensus report is then generated for each participant detailing true positives, false positives, and false negatives. The sequence data submitted is used by the EQA to generate a lineage using Nextclade.</w:t>
        <w:br/>
        <w:br/>
        <w:t xml:space="preserve">Your variant concordance report (xlsx format) and individual laboratory report (ILR) are available on the……… . If you have any problems accessing your reports then please contact ………… </w:t>
        <w:br/>
        <w:br/>
        <w:t>The purpose of this EQA is to assess:</w:t>
        <w:br/>
        <w:t xml:space="preserve"> ➢  The accuracy of RSV sequencing.</w:t>
        <w:br/>
        <w:t xml:space="preserve"> ➢  Provide a measurement of the quality of viral sequencing.</w:t>
        <w:br/>
        <w:br/>
        <w:t>The summary of the EQA participation, variant call assessment, marking criteria applied and the scoring is provided as Appendix 1.</w:t>
        <w:br/>
      </w:r>
    </w:p>
    <w:p>
      <w:r>
        <w:br/>
        <w:br/>
        <w:br/>
        <w:br/>
      </w:r>
    </w:p>
    <w:p>
      <w:pPr>
        <w:jc w:val="center"/>
      </w:pPr>
      <w:r>
        <w:rPr>
          <w:b/>
          <w:i/>
          <w:sz w:val="20"/>
        </w:rPr>
        <w:t>CONFIDENTIAL. Copyright © UKNEQAS for Microbiology</w:t>
      </w:r>
    </w:p>
    <w:p>
      <w:r>
        <w:br w:type="page"/>
      </w:r>
    </w:p>
    <w:p>
      <w:pPr>
        <w:pStyle w:val="Heading1"/>
      </w:pPr>
      <w:r>
        <w:t>Evaluation Report: WR099</w:t>
      </w:r>
    </w:p>
    <w:p>
      <w:pPr>
        <w:pStyle w:val="Heading2"/>
      </w:pPr>
      <w:r>
        <w:t>Table 1: RSV subtyping and clade assignment</w:t>
      </w:r>
    </w:p>
    <w:tbl>
      <w:tblPr>
        <w:tblStyle w:val="TableGrid"/>
        <w:tblW w:type="auto" w:w="0"/>
        <w:jc w:val="center"/>
        <w:tblLook w:firstColumn="1" w:firstRow="1" w:lastColumn="0" w:lastRow="0" w:noHBand="0" w:noVBand="1" w:val="04A0"/>
      </w:tblPr>
      <w:tblGrid>
        <w:gridCol w:w="1587"/>
        <w:gridCol w:w="1587"/>
        <w:gridCol w:w="1587"/>
        <w:gridCol w:w="1587"/>
        <w:gridCol w:w="1587"/>
        <w:gridCol w:w="1587"/>
        <w:gridCol w:w="1587"/>
      </w:tblGrid>
      <w:tr>
        <w:tc>
          <w:tcPr>
            <w:tcW w:type="dxa" w:w="1587"/>
            <w:shd w:fill="D3D3D3"/>
          </w:tcPr>
          <w:p>
            <w:r>
              <w:rPr>
                <w:b/>
                <w:sz w:val="20"/>
              </w:rPr>
              <w:t>Indicator</w:t>
            </w:r>
          </w:p>
        </w:tc>
        <w:tc>
          <w:tcPr>
            <w:tcW w:type="dxa" w:w="1587"/>
            <w:shd w:fill="D3D3D3"/>
          </w:tcPr>
          <w:p>
            <w:r>
              <w:rPr>
                <w:b/>
                <w:sz w:val="20"/>
              </w:rPr>
              <w:t>Specimen ID</w:t>
            </w:r>
          </w:p>
        </w:tc>
        <w:tc>
          <w:tcPr>
            <w:tcW w:type="dxa" w:w="1587"/>
            <w:shd w:fill="D3D3D3"/>
          </w:tcPr>
          <w:p>
            <w:r>
              <w:rPr>
                <w:b/>
                <w:sz w:val="20"/>
              </w:rPr>
              <w:t>Your result</w:t>
            </w:r>
          </w:p>
        </w:tc>
        <w:tc>
          <w:tcPr>
            <w:tcW w:type="dxa" w:w="1587"/>
            <w:shd w:fill="D3D3D3"/>
          </w:tcPr>
          <w:p>
            <w:r>
              <w:rPr>
                <w:b/>
                <w:sz w:val="20"/>
              </w:rPr>
              <w:t>Intended Result</w:t>
            </w:r>
          </w:p>
        </w:tc>
        <w:tc>
          <w:tcPr>
            <w:tcW w:type="dxa" w:w="1587"/>
            <w:shd w:fill="D3D3D3"/>
          </w:tcPr>
          <w:p>
            <w:r>
              <w:rPr>
                <w:b/>
                <w:sz w:val="20"/>
              </w:rPr>
              <w:t>Reference Sample</w:t>
            </w:r>
          </w:p>
        </w:tc>
        <w:tc>
          <w:tcPr>
            <w:tcW w:type="dxa" w:w="1587"/>
            <w:shd w:fill="D3D3D3"/>
          </w:tcPr>
          <w:p>
            <w:r>
              <w:rPr>
                <w:b/>
                <w:sz w:val="20"/>
              </w:rPr>
              <w:t>Your score</w:t>
            </w:r>
          </w:p>
        </w:tc>
        <w:tc>
          <w:tcPr>
            <w:tcW w:type="dxa" w:w="1587"/>
            <w:shd w:fill="D3D3D3"/>
          </w:tcPr>
          <w:p>
            <w:r>
              <w:rPr>
                <w:b/>
                <w:sz w:val="20"/>
              </w:rPr>
              <w:t>Participant with intended results</w:t>
            </w:r>
          </w:p>
        </w:tc>
      </w:tr>
      <w:tr>
        <w:tc>
          <w:tcPr>
            <w:tcW w:type="dxa" w:w="1587"/>
            <w:vMerge w:val="restart"/>
            <w:shd w:fill="FFDDC1"/>
          </w:tcPr>
          <w:p>
            <w:r>
              <w:rPr>
                <w:sz w:val="18"/>
              </w:rPr>
              <w:t>RSV Subtyping</w:t>
            </w:r>
          </w:p>
        </w:tc>
        <w:tc>
          <w:tcPr>
            <w:tcW w:type="dxa" w:w="1587"/>
            <w:shd w:fill="FFDDC1"/>
          </w:tcPr>
          <w:p>
            <w:r>
              <w:rPr>
                <w:sz w:val="18"/>
              </w:rPr>
              <w:t>2526</w:t>
            </w:r>
          </w:p>
        </w:tc>
        <w:tc>
          <w:tcPr>
            <w:tcW w:type="dxa" w:w="1587"/>
            <w:shd w:fill="FFDDC1"/>
          </w:tcPr>
          <w:p>
            <w:r>
              <w:rPr>
                <w:sz w:val="18"/>
              </w:rPr>
              <w:t>RSV-B</w:t>
            </w:r>
          </w:p>
        </w:tc>
        <w:tc>
          <w:tcPr>
            <w:tcW w:type="dxa" w:w="1587"/>
            <w:shd w:fill="FFDDC1"/>
          </w:tcPr>
          <w:p>
            <w:r>
              <w:rPr>
                <w:sz w:val="18"/>
              </w:rPr>
              <w:t>RSV-B</w:t>
            </w:r>
          </w:p>
        </w:tc>
        <w:tc>
          <w:tcPr>
            <w:tcW w:type="dxa" w:w="1587"/>
            <w:shd w:fill="FFDDC1"/>
          </w:tcPr>
          <w:p>
            <w:r>
              <w:rPr>
                <w:sz w:val="18"/>
              </w:rPr>
              <w:t>RSV-B</w:t>
            </w:r>
          </w:p>
        </w:tc>
        <w:tc>
          <w:tcPr>
            <w:tcW w:type="dxa" w:w="1587"/>
            <w:shd w:fill="FFDDC1"/>
          </w:tcPr>
          <w:p>
            <w:r>
              <w:rPr>
                <w:color w:val="008000"/>
                <w:sz w:val="18"/>
              </w:rPr>
              <w:t>Pass</w:t>
            </w:r>
          </w:p>
        </w:tc>
        <w:tc>
          <w:tcPr>
            <w:tcW w:type="dxa" w:w="1587"/>
            <w:shd w:fill="FFDDC1"/>
          </w:tcPr>
          <w:p>
            <w:r>
              <w:rPr>
                <w:sz w:val="18"/>
              </w:rPr>
              <w:t>2/2 (100%)</w:t>
            </w:r>
          </w:p>
        </w:tc>
      </w:tr>
      <w:tr>
        <w:tc>
          <w:tcPr>
            <w:tcW w:type="dxa" w:w="1587"/>
            <w:vMerge/>
            <w:shd w:fill="FFDDC1"/>
          </w:tcPr>
          <w:p/>
        </w:tc>
        <w:tc>
          <w:tcPr>
            <w:tcW w:type="dxa" w:w="1587"/>
            <w:shd w:fill="FFDDC1"/>
          </w:tcPr>
          <w:p>
            <w:r>
              <w:rPr>
                <w:sz w:val="18"/>
              </w:rPr>
              <w:t>2524</w:t>
            </w:r>
          </w:p>
        </w:tc>
        <w:tc>
          <w:tcPr>
            <w:tcW w:type="dxa" w:w="1587"/>
            <w:shd w:fill="FFDDC1"/>
          </w:tcPr>
          <w:p>
            <w:r>
              <w:rPr>
                <w:sz w:val="18"/>
              </w:rPr>
              <w:t>RSV-B</w:t>
            </w:r>
          </w:p>
        </w:tc>
        <w:tc>
          <w:tcPr>
            <w:tcW w:type="dxa" w:w="1587"/>
            <w:shd w:fill="FFDDC1"/>
          </w:tcPr>
          <w:p>
            <w:r>
              <w:rPr>
                <w:sz w:val="18"/>
              </w:rPr>
              <w:t>RSV-B</w:t>
            </w:r>
          </w:p>
        </w:tc>
        <w:tc>
          <w:tcPr>
            <w:tcW w:type="dxa" w:w="1587"/>
            <w:shd w:fill="FFDDC1"/>
          </w:tcPr>
          <w:p>
            <w:r>
              <w:rPr>
                <w:sz w:val="18"/>
              </w:rPr>
              <w:t>RSV-B</w:t>
            </w:r>
          </w:p>
        </w:tc>
        <w:tc>
          <w:tcPr>
            <w:tcW w:type="dxa" w:w="1587"/>
            <w:shd w:fill="FFDDC1"/>
          </w:tcPr>
          <w:p>
            <w:r>
              <w:rPr>
                <w:color w:val="008000"/>
                <w:sz w:val="18"/>
              </w:rPr>
              <w:t>Pass</w:t>
            </w:r>
          </w:p>
        </w:tc>
        <w:tc>
          <w:tcPr>
            <w:tcW w:type="dxa" w:w="1587"/>
            <w:shd w:fill="FFDDC1"/>
          </w:tcPr>
          <w:p>
            <w:r>
              <w:rPr>
                <w:sz w:val="18"/>
              </w:rPr>
              <w:t>3/3 (100%)</w:t>
            </w:r>
          </w:p>
        </w:tc>
      </w:tr>
      <w:tr>
        <w:tc>
          <w:tcPr>
            <w:tcW w:type="dxa" w:w="1587"/>
            <w:vMerge/>
            <w:shd w:fill="FFDDC1"/>
          </w:tcPr>
          <w:p/>
        </w:tc>
        <w:tc>
          <w:tcPr>
            <w:tcW w:type="dxa" w:w="1587"/>
            <w:shd w:fill="FFDDC1"/>
          </w:tcPr>
          <w:p>
            <w:r>
              <w:rPr>
                <w:sz w:val="18"/>
              </w:rPr>
              <w:t>2525</w:t>
            </w:r>
          </w:p>
        </w:tc>
        <w:tc>
          <w:tcPr>
            <w:tcW w:type="dxa" w:w="1587"/>
            <w:shd w:fill="FFDDC1"/>
          </w:tcPr>
          <w:p>
            <w:r>
              <w:rPr>
                <w:sz w:val="18"/>
              </w:rPr>
              <w:t>RSV-B</w:t>
            </w:r>
          </w:p>
        </w:tc>
        <w:tc>
          <w:tcPr>
            <w:tcW w:type="dxa" w:w="1587"/>
            <w:shd w:fill="FFDDC1"/>
          </w:tcPr>
          <w:p>
            <w:r>
              <w:rPr>
                <w:sz w:val="18"/>
              </w:rPr>
              <w:t>RSV-A</w:t>
            </w:r>
          </w:p>
        </w:tc>
        <w:tc>
          <w:tcPr>
            <w:tcW w:type="dxa" w:w="1587"/>
            <w:shd w:fill="FFDDC1"/>
          </w:tcPr>
          <w:p>
            <w:r>
              <w:rPr>
                <w:sz w:val="18"/>
              </w:rPr>
              <w:t>RSV-A</w:t>
            </w:r>
          </w:p>
        </w:tc>
        <w:tc>
          <w:tcPr>
            <w:tcW w:type="dxa" w:w="1587"/>
            <w:shd w:fill="FFDDC1"/>
          </w:tcPr>
          <w:p>
            <w:r>
              <w:rPr>
                <w:color w:val="FF0000"/>
                <w:sz w:val="18"/>
              </w:rPr>
              <w:t>Fail</w:t>
            </w:r>
          </w:p>
        </w:tc>
        <w:tc>
          <w:tcPr>
            <w:tcW w:type="dxa" w:w="1587"/>
            <w:shd w:fill="FFDDC1"/>
          </w:tcPr>
          <w:p>
            <w:r>
              <w:rPr>
                <w:sz w:val="18"/>
              </w:rPr>
              <w:t>3/3 (100%)</w:t>
            </w:r>
          </w:p>
        </w:tc>
      </w:tr>
      <w:tr>
        <w:tc>
          <w:tcPr>
            <w:tcW w:type="dxa" w:w="1587"/>
            <w:vMerge w:val="restart"/>
            <w:shd w:fill="D1E8E2"/>
          </w:tcPr>
          <w:p>
            <w:r>
              <w:rPr>
                <w:sz w:val="18"/>
              </w:rPr>
              <w:t>Clade</w:t>
            </w:r>
          </w:p>
        </w:tc>
        <w:tc>
          <w:tcPr>
            <w:tcW w:type="dxa" w:w="1587"/>
            <w:shd w:fill="D1E8E2"/>
          </w:tcPr>
          <w:p>
            <w:r>
              <w:rPr>
                <w:sz w:val="18"/>
              </w:rPr>
              <w:t>2526</w:t>
            </w:r>
          </w:p>
        </w:tc>
        <w:tc>
          <w:tcPr>
            <w:tcW w:type="dxa" w:w="1587"/>
            <w:shd w:fill="D1E8E2"/>
          </w:tcPr>
          <w:p>
            <w:r>
              <w:rPr>
                <w:sz w:val="18"/>
              </w:rPr>
              <w:t>B.D.E.1</w:t>
            </w:r>
          </w:p>
        </w:tc>
        <w:tc>
          <w:tcPr>
            <w:tcW w:type="dxa" w:w="1587"/>
            <w:shd w:fill="D1E8E2"/>
          </w:tcPr>
          <w:p>
            <w:r>
              <w:rPr>
                <w:sz w:val="18"/>
              </w:rPr>
              <w:t>B.D.E.1</w:t>
            </w:r>
          </w:p>
        </w:tc>
        <w:tc>
          <w:tcPr>
            <w:tcW w:type="dxa" w:w="1587"/>
            <w:shd w:fill="D1E8E2"/>
          </w:tcPr>
          <w:p>
            <w:r>
              <w:rPr>
                <w:sz w:val="18"/>
              </w:rPr>
              <w:t>B.D.E.1</w:t>
            </w:r>
          </w:p>
        </w:tc>
        <w:tc>
          <w:tcPr>
            <w:tcW w:type="dxa" w:w="1587"/>
            <w:shd w:fill="D1E8E2"/>
          </w:tcPr>
          <w:p>
            <w:r>
              <w:rPr>
                <w:color w:val="008000"/>
                <w:sz w:val="18"/>
              </w:rPr>
              <w:t>Pass</w:t>
            </w:r>
          </w:p>
        </w:tc>
        <w:tc>
          <w:tcPr>
            <w:tcW w:type="dxa" w:w="1587"/>
            <w:shd w:fill="D1E8E2"/>
          </w:tcPr>
          <w:p>
            <w:r>
              <w:rPr>
                <w:sz w:val="18"/>
              </w:rPr>
              <w:t>2/2 (100%)</w:t>
            </w:r>
          </w:p>
        </w:tc>
      </w:tr>
      <w:tr>
        <w:tc>
          <w:tcPr>
            <w:tcW w:type="dxa" w:w="1587"/>
            <w:vMerge/>
            <w:shd w:fill="D1E8E2"/>
          </w:tcPr>
          <w:p/>
        </w:tc>
        <w:tc>
          <w:tcPr>
            <w:tcW w:type="dxa" w:w="1587"/>
            <w:shd w:fill="D1E8E2"/>
          </w:tcPr>
          <w:p>
            <w:r>
              <w:rPr>
                <w:sz w:val="18"/>
              </w:rPr>
              <w:t>2524</w:t>
            </w:r>
          </w:p>
        </w:tc>
        <w:tc>
          <w:tcPr>
            <w:tcW w:type="dxa" w:w="1587"/>
            <w:shd w:fill="D1E8E2"/>
          </w:tcPr>
          <w:p>
            <w:r>
              <w:rPr>
                <w:sz w:val="18"/>
              </w:rPr>
              <w:t>B.D.4.1.1</w:t>
            </w:r>
          </w:p>
        </w:tc>
        <w:tc>
          <w:tcPr>
            <w:tcW w:type="dxa" w:w="1587"/>
            <w:shd w:fill="D1E8E2"/>
          </w:tcPr>
          <w:p>
            <w:r>
              <w:rPr>
                <w:sz w:val="18"/>
              </w:rPr>
              <w:t>B.D.4.1.1</w:t>
            </w:r>
          </w:p>
        </w:tc>
        <w:tc>
          <w:tcPr>
            <w:tcW w:type="dxa" w:w="1587"/>
            <w:shd w:fill="D1E8E2"/>
          </w:tcPr>
          <w:p>
            <w:r>
              <w:rPr>
                <w:sz w:val="18"/>
              </w:rPr>
              <w:t>B.D.4.1.1</w:t>
            </w:r>
          </w:p>
        </w:tc>
        <w:tc>
          <w:tcPr>
            <w:tcW w:type="dxa" w:w="1587"/>
            <w:shd w:fill="D1E8E2"/>
          </w:tcPr>
          <w:p>
            <w:r>
              <w:rPr>
                <w:color w:val="008000"/>
                <w:sz w:val="18"/>
              </w:rPr>
              <w:t>Pass</w:t>
            </w:r>
          </w:p>
        </w:tc>
        <w:tc>
          <w:tcPr>
            <w:tcW w:type="dxa" w:w="1587"/>
            <w:shd w:fill="D1E8E2"/>
          </w:tcPr>
          <w:p>
            <w:r>
              <w:rPr>
                <w:sz w:val="18"/>
              </w:rPr>
              <w:t>3/3 (100%)</w:t>
            </w:r>
          </w:p>
        </w:tc>
      </w:tr>
      <w:tr>
        <w:tc>
          <w:tcPr>
            <w:tcW w:type="dxa" w:w="1587"/>
            <w:vMerge/>
            <w:shd w:fill="D1E8E2"/>
          </w:tcPr>
          <w:p/>
        </w:tc>
        <w:tc>
          <w:tcPr>
            <w:tcW w:type="dxa" w:w="1587"/>
            <w:shd w:fill="D1E8E2"/>
          </w:tcPr>
          <w:p>
            <w:r>
              <w:rPr>
                <w:sz w:val="18"/>
              </w:rPr>
              <w:t>2525</w:t>
            </w:r>
          </w:p>
        </w:tc>
        <w:tc>
          <w:tcPr>
            <w:tcW w:type="dxa" w:w="1587"/>
            <w:shd w:fill="D1E8E2"/>
          </w:tcPr>
          <w:p>
            <w:r>
              <w:rPr>
                <w:sz w:val="18"/>
              </w:rPr>
              <w:t>A.3.1.1</w:t>
            </w:r>
          </w:p>
        </w:tc>
        <w:tc>
          <w:tcPr>
            <w:tcW w:type="dxa" w:w="1587"/>
            <w:shd w:fill="D1E8E2"/>
          </w:tcPr>
          <w:p>
            <w:r>
              <w:rPr>
                <w:sz w:val="18"/>
              </w:rPr>
              <w:t>A.D.3</w:t>
            </w:r>
          </w:p>
        </w:tc>
        <w:tc>
          <w:tcPr>
            <w:tcW w:type="dxa" w:w="1587"/>
            <w:shd w:fill="D1E8E2"/>
          </w:tcPr>
          <w:p>
            <w:r>
              <w:rPr>
                <w:sz w:val="18"/>
              </w:rPr>
              <w:t>A.D.3</w:t>
            </w:r>
          </w:p>
        </w:tc>
        <w:tc>
          <w:tcPr>
            <w:tcW w:type="dxa" w:w="1587"/>
            <w:shd w:fill="D1E8E2"/>
          </w:tcPr>
          <w:p>
            <w:r>
              <w:rPr>
                <w:color w:val="FF0000"/>
                <w:sz w:val="18"/>
              </w:rPr>
              <w:t>Fail</w:t>
            </w:r>
          </w:p>
        </w:tc>
        <w:tc>
          <w:tcPr>
            <w:tcW w:type="dxa" w:w="1587"/>
            <w:shd w:fill="D1E8E2"/>
          </w:tcPr>
          <w:p>
            <w:r>
              <w:rPr>
                <w:sz w:val="18"/>
              </w:rPr>
              <w:t>3/3 (100%)</w:t>
            </w:r>
          </w:p>
        </w:tc>
      </w:tr>
      <w:tr>
        <w:tc>
          <w:tcPr>
            <w:tcW w:type="dxa" w:w="1587"/>
            <w:vMerge w:val="restart"/>
            <w:shd w:fill="E2D1E8"/>
          </w:tcPr>
          <w:p>
            <w:r>
              <w:rPr>
                <w:sz w:val="18"/>
              </w:rPr>
              <w:t>Legacy clade</w:t>
            </w:r>
          </w:p>
        </w:tc>
        <w:tc>
          <w:tcPr>
            <w:tcW w:type="dxa" w:w="1587"/>
            <w:shd w:fill="E2D1E8"/>
          </w:tcPr>
          <w:p>
            <w:r>
              <w:rPr>
                <w:sz w:val="18"/>
              </w:rPr>
              <w:t>2526</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color w:val="008000"/>
                <w:sz w:val="18"/>
              </w:rPr>
              <w:t>Pass</w:t>
            </w:r>
          </w:p>
        </w:tc>
        <w:tc>
          <w:tcPr>
            <w:tcW w:type="dxa" w:w="1587"/>
            <w:shd w:fill="E2D1E8"/>
          </w:tcPr>
          <w:p>
            <w:r>
              <w:rPr>
                <w:sz w:val="18"/>
              </w:rPr>
              <w:t>2/2 (100%)</w:t>
            </w:r>
          </w:p>
        </w:tc>
      </w:tr>
      <w:tr>
        <w:tc>
          <w:tcPr>
            <w:tcW w:type="dxa" w:w="1587"/>
            <w:vMerge/>
            <w:shd w:fill="E2D1E8"/>
          </w:tcPr>
          <w:p/>
        </w:tc>
        <w:tc>
          <w:tcPr>
            <w:tcW w:type="dxa" w:w="1587"/>
            <w:shd w:fill="E2D1E8"/>
          </w:tcPr>
          <w:p>
            <w:r>
              <w:rPr>
                <w:sz w:val="18"/>
              </w:rPr>
              <w:t>2524</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sz w:val="18"/>
              </w:rPr>
              <w:t>GB5.0.5a</w:t>
            </w:r>
          </w:p>
        </w:tc>
        <w:tc>
          <w:tcPr>
            <w:tcW w:type="dxa" w:w="1587"/>
            <w:shd w:fill="E2D1E8"/>
          </w:tcPr>
          <w:p>
            <w:r>
              <w:rPr>
                <w:color w:val="008000"/>
                <w:sz w:val="18"/>
              </w:rPr>
              <w:t>Pass</w:t>
            </w:r>
          </w:p>
        </w:tc>
        <w:tc>
          <w:tcPr>
            <w:tcW w:type="dxa" w:w="1587"/>
            <w:shd w:fill="E2D1E8"/>
          </w:tcPr>
          <w:p>
            <w:r>
              <w:rPr>
                <w:sz w:val="18"/>
              </w:rPr>
              <w:t>3/3 (100%)</w:t>
            </w:r>
          </w:p>
        </w:tc>
      </w:tr>
      <w:tr>
        <w:tc>
          <w:tcPr>
            <w:tcW w:type="dxa" w:w="1587"/>
            <w:vMerge/>
            <w:shd w:fill="E2D1E8"/>
          </w:tcPr>
          <w:p/>
        </w:tc>
        <w:tc>
          <w:tcPr>
            <w:tcW w:type="dxa" w:w="1587"/>
            <w:shd w:fill="E2D1E8"/>
          </w:tcPr>
          <w:p>
            <w:r>
              <w:rPr>
                <w:sz w:val="18"/>
              </w:rPr>
              <w:t>2525</w:t>
            </w:r>
          </w:p>
        </w:tc>
        <w:tc>
          <w:tcPr>
            <w:tcW w:type="dxa" w:w="1587"/>
            <w:shd w:fill="E2D1E8"/>
          </w:tcPr>
          <w:p>
            <w:r>
              <w:rPr>
                <w:sz w:val="18"/>
              </w:rPr>
              <w:t>GA2.3.3</w:t>
            </w:r>
          </w:p>
        </w:tc>
        <w:tc>
          <w:tcPr>
            <w:tcW w:type="dxa" w:w="1587"/>
            <w:shd w:fill="E2D1E8"/>
          </w:tcPr>
          <w:p>
            <w:r>
              <w:rPr>
                <w:sz w:val="18"/>
              </w:rPr>
              <w:t>GA2.3.5</w:t>
            </w:r>
          </w:p>
        </w:tc>
        <w:tc>
          <w:tcPr>
            <w:tcW w:type="dxa" w:w="1587"/>
            <w:shd w:fill="E2D1E8"/>
          </w:tcPr>
          <w:p>
            <w:r>
              <w:rPr>
                <w:sz w:val="18"/>
              </w:rPr>
              <w:t>GA2.3.5</w:t>
            </w:r>
          </w:p>
        </w:tc>
        <w:tc>
          <w:tcPr>
            <w:tcW w:type="dxa" w:w="1587"/>
            <w:shd w:fill="E2D1E8"/>
          </w:tcPr>
          <w:p>
            <w:r>
              <w:rPr>
                <w:color w:val="FF0000"/>
                <w:sz w:val="18"/>
              </w:rPr>
              <w:t>Fail</w:t>
            </w:r>
          </w:p>
        </w:tc>
        <w:tc>
          <w:tcPr>
            <w:tcW w:type="dxa" w:w="1587"/>
            <w:shd w:fill="E2D1E8"/>
          </w:tcPr>
          <w:p>
            <w:r>
              <w:rPr>
                <w:sz w:val="18"/>
              </w:rPr>
              <w:t>3/3 (100%)</w:t>
            </w:r>
          </w:p>
        </w:tc>
      </w:tr>
    </w:tbl>
    <w:p/>
    <w:p>
      <w:pPr>
        <w:pStyle w:val="Heading2"/>
      </w:pPr>
      <w:r>
        <w:t>Table 2: Sequencing Quality</w:t>
      </w:r>
    </w:p>
    <w:tbl>
      <w:tblPr>
        <w:tblStyle w:val="TableGrid"/>
        <w:tblW w:type="auto" w:w="0"/>
        <w:jc w:val="center"/>
        <w:tblLook w:firstColumn="1" w:firstRow="1" w:lastColumn="0" w:lastRow="0" w:noHBand="0" w:noVBand="1" w:val="04A0"/>
      </w:tblPr>
      <w:tblGrid>
        <w:gridCol w:w="1388"/>
        <w:gridCol w:w="1388"/>
        <w:gridCol w:w="1388"/>
        <w:gridCol w:w="1388"/>
        <w:gridCol w:w="1388"/>
        <w:gridCol w:w="1388"/>
        <w:gridCol w:w="1388"/>
        <w:gridCol w:w="1388"/>
      </w:tblGrid>
      <w:tr>
        <w:tc>
          <w:tcPr>
            <w:tcW w:type="dxa" w:w="1388"/>
            <w:vMerge w:val="restart"/>
            <w:shd w:fill="D3D3D3"/>
          </w:tcPr>
          <w:p>
            <w:r>
              <w:rPr>
                <w:b/>
                <w:sz w:val="20"/>
              </w:rPr>
              <w:t>Indicator</w:t>
            </w:r>
          </w:p>
        </w:tc>
        <w:tc>
          <w:tcPr>
            <w:tcW w:type="dxa" w:w="1388"/>
            <w:vMerge w:val="restart"/>
            <w:shd w:fill="D3D3D3"/>
          </w:tcPr>
          <w:p>
            <w:r>
              <w:rPr>
                <w:b/>
                <w:sz w:val="20"/>
              </w:rPr>
              <w:t>Specimen ID</w:t>
            </w:r>
          </w:p>
        </w:tc>
        <w:tc>
          <w:tcPr>
            <w:tcW w:type="dxa" w:w="1388"/>
            <w:vMerge w:val="restart"/>
            <w:shd w:fill="D3D3D3"/>
          </w:tcPr>
          <w:p>
            <w:r>
              <w:rPr>
                <w:b/>
                <w:sz w:val="20"/>
              </w:rPr>
              <w:t>Your result</w:t>
            </w:r>
          </w:p>
        </w:tc>
        <w:tc>
          <w:tcPr>
            <w:tcW w:type="dxa" w:w="1388"/>
            <w:vMerge w:val="restart"/>
            <w:shd w:fill="D3D3D3"/>
          </w:tcPr>
          <w:p>
            <w:r>
              <w:rPr>
                <w:b/>
                <w:sz w:val="20"/>
              </w:rPr>
              <w:t>Recommended Value*</w:t>
            </w:r>
          </w:p>
        </w:tc>
        <w:tc>
          <w:tcPr>
            <w:tcW w:type="dxa" w:w="1388"/>
            <w:vMerge w:val="restart"/>
            <w:shd w:fill="D3D3D3"/>
          </w:tcPr>
          <w:p>
            <w:r>
              <w:rPr>
                <w:b/>
                <w:sz w:val="20"/>
              </w:rPr>
              <w:t>Reference Sample</w:t>
            </w:r>
          </w:p>
        </w:tc>
        <w:tc>
          <w:tcPr>
            <w:tcW w:type="dxa" w:w="1388"/>
            <w:vMerge w:val="restart"/>
            <w:shd w:fill="D3D3D3"/>
          </w:tcPr>
          <w:p>
            <w:r>
              <w:rPr>
                <w:b/>
                <w:sz w:val="20"/>
              </w:rPr>
              <w:t>Your score</w:t>
            </w:r>
          </w:p>
        </w:tc>
        <w:tc>
          <w:tcPr>
            <w:tcW w:type="dxa" w:w="2776"/>
            <w:gridSpan w:val="2"/>
            <w:shd w:fill="D3D3D3"/>
          </w:tcPr>
          <w:p>
            <w:r>
              <w:rPr>
                <w:b/>
                <w:sz w:val="20"/>
              </w:rPr>
              <w:t>Participant summary</w:t>
            </w:r>
          </w:p>
        </w:tc>
      </w:tr>
      <w:tr>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vMerge/>
            <w:shd w:fill="ADD8E6"/>
          </w:tcPr>
          <w:p/>
        </w:tc>
        <w:tc>
          <w:tcPr>
            <w:tcW w:type="dxa" w:w="1388"/>
            <w:shd w:fill="ADD8E6"/>
          </w:tcPr>
          <w:p>
            <w:r>
              <w:rPr>
                <w:sz w:val="20"/>
              </w:rPr>
              <w:t>Mean (IQR)</w:t>
            </w:r>
          </w:p>
        </w:tc>
        <w:tc>
          <w:tcPr>
            <w:tcW w:type="dxa" w:w="1388"/>
            <w:shd w:fill="ADD8E6"/>
          </w:tcPr>
          <w:p>
            <w:r>
              <w:rPr>
                <w:sz w:val="20"/>
              </w:rPr>
              <w:t>Participants meeting threshold</w:t>
            </w:r>
          </w:p>
        </w:tc>
      </w:tr>
      <w:tr>
        <w:tc>
          <w:tcPr>
            <w:tcW w:type="dxa" w:w="1388"/>
            <w:vMerge w:val="restart"/>
            <w:shd w:fill="FFDDC1"/>
          </w:tcPr>
          <w:p>
            <w:r>
              <w:rPr>
                <w:sz w:val="18"/>
              </w:rPr>
              <w:t>Genome Coverage (%)</w:t>
            </w:r>
          </w:p>
        </w:tc>
        <w:tc>
          <w:tcPr>
            <w:tcW w:type="dxa" w:w="1388"/>
            <w:shd w:fill="FFDDC1"/>
          </w:tcPr>
          <w:p>
            <w:r>
              <w:rPr>
                <w:sz w:val="18"/>
              </w:rPr>
              <w:t>2526</w:t>
            </w:r>
          </w:p>
        </w:tc>
        <w:tc>
          <w:tcPr>
            <w:tcW w:type="dxa" w:w="1388"/>
            <w:shd w:fill="FFDDC1"/>
          </w:tcPr>
          <w:p>
            <w:r>
              <w:rPr>
                <w:sz w:val="18"/>
              </w:rPr>
              <w:t>99.8</w:t>
            </w:r>
          </w:p>
        </w:tc>
        <w:tc>
          <w:tcPr>
            <w:tcW w:type="dxa" w:w="1388"/>
            <w:shd w:fill="FFDDC1"/>
          </w:tcPr>
          <w:p>
            <w:r>
              <w:rPr>
                <w:sz w:val="18"/>
              </w:rPr>
              <w:t>90% or higher</w:t>
            </w:r>
          </w:p>
        </w:tc>
        <w:tc>
          <w:tcPr>
            <w:tcW w:type="dxa" w:w="1388"/>
            <w:shd w:fill="FFDDC1"/>
          </w:tcPr>
          <w:p>
            <w:r>
              <w:rPr>
                <w:sz w:val="18"/>
              </w:rPr>
              <w:t>99.8</w:t>
            </w:r>
          </w:p>
        </w:tc>
        <w:tc>
          <w:tcPr>
            <w:tcW w:type="dxa" w:w="1388"/>
            <w:shd w:fill="FFDDC1"/>
          </w:tcPr>
          <w:p>
            <w:r>
              <w:rPr>
                <w:color w:val="008000"/>
                <w:sz w:val="18"/>
              </w:rPr>
              <w:t>Pass</w:t>
            </w:r>
          </w:p>
        </w:tc>
        <w:tc>
          <w:tcPr>
            <w:tcW w:type="dxa" w:w="1388"/>
            <w:shd w:fill="FFDDC1"/>
          </w:tcPr>
          <w:p>
            <w:r>
              <w:rPr>
                <w:sz w:val="18"/>
              </w:rPr>
              <w:t>81 (80-83)</w:t>
            </w:r>
          </w:p>
        </w:tc>
        <w:tc>
          <w:tcPr>
            <w:tcW w:type="dxa" w:w="1388"/>
            <w:shd w:fill="FFDDC1"/>
          </w:tcPr>
          <w:p>
            <w:r>
              <w:rPr>
                <w:sz w:val="18"/>
              </w:rPr>
              <w:t>0/2 (0%)</w:t>
            </w:r>
          </w:p>
        </w:tc>
      </w:tr>
      <w:tr>
        <w:tc>
          <w:tcPr>
            <w:tcW w:type="dxa" w:w="1388"/>
            <w:vMerge/>
            <w:shd w:fill="FFDDC1"/>
          </w:tcPr>
          <w:p/>
        </w:tc>
        <w:tc>
          <w:tcPr>
            <w:tcW w:type="dxa" w:w="1388"/>
            <w:shd w:fill="FFDDC1"/>
          </w:tcPr>
          <w:p>
            <w:r>
              <w:rPr>
                <w:sz w:val="18"/>
              </w:rPr>
              <w:t>2524</w:t>
            </w:r>
          </w:p>
        </w:tc>
        <w:tc>
          <w:tcPr>
            <w:tcW w:type="dxa" w:w="1388"/>
            <w:shd w:fill="FFDDC1"/>
          </w:tcPr>
          <w:p>
            <w:r>
              <w:rPr>
                <w:sz w:val="18"/>
              </w:rPr>
              <w:t>99.7</w:t>
            </w:r>
          </w:p>
        </w:tc>
        <w:tc>
          <w:tcPr>
            <w:tcW w:type="dxa" w:w="1388"/>
            <w:shd w:fill="FFDDC1"/>
          </w:tcPr>
          <w:p>
            <w:r>
              <w:rPr>
                <w:sz w:val="18"/>
              </w:rPr>
              <w:t>90% or higher</w:t>
            </w:r>
          </w:p>
        </w:tc>
        <w:tc>
          <w:tcPr>
            <w:tcW w:type="dxa" w:w="1388"/>
            <w:shd w:fill="FFDDC1"/>
          </w:tcPr>
          <w:p>
            <w:r>
              <w:rPr>
                <w:sz w:val="18"/>
              </w:rPr>
              <w:t>95.7</w:t>
            </w:r>
          </w:p>
        </w:tc>
        <w:tc>
          <w:tcPr>
            <w:tcW w:type="dxa" w:w="1388"/>
            <w:shd w:fill="FFDDC1"/>
          </w:tcPr>
          <w:p>
            <w:r>
              <w:rPr>
                <w:color w:val="008000"/>
                <w:sz w:val="18"/>
              </w:rPr>
              <w:t>Pass</w:t>
            </w:r>
          </w:p>
        </w:tc>
        <w:tc>
          <w:tcPr>
            <w:tcW w:type="dxa" w:w="1388"/>
            <w:shd w:fill="FFDDC1"/>
          </w:tcPr>
          <w:p>
            <w:r>
              <w:rPr>
                <w:sz w:val="18"/>
              </w:rPr>
              <w:t>86 (81-90)</w:t>
            </w:r>
          </w:p>
        </w:tc>
        <w:tc>
          <w:tcPr>
            <w:tcW w:type="dxa" w:w="1388"/>
            <w:shd w:fill="FFDDC1"/>
          </w:tcPr>
          <w:p>
            <w:r>
              <w:rPr>
                <w:sz w:val="18"/>
              </w:rPr>
              <w:t>1/3 (33%)</w:t>
            </w:r>
          </w:p>
        </w:tc>
      </w:tr>
      <w:tr>
        <w:tc>
          <w:tcPr>
            <w:tcW w:type="dxa" w:w="1388"/>
            <w:vMerge/>
            <w:shd w:fill="FFDDC1"/>
          </w:tcPr>
          <w:p/>
        </w:tc>
        <w:tc>
          <w:tcPr>
            <w:tcW w:type="dxa" w:w="1388"/>
            <w:shd w:fill="FFDDC1"/>
          </w:tcPr>
          <w:p>
            <w:r>
              <w:rPr>
                <w:sz w:val="18"/>
              </w:rPr>
              <w:t>2525</w:t>
            </w:r>
          </w:p>
        </w:tc>
        <w:tc>
          <w:tcPr>
            <w:tcW w:type="dxa" w:w="1388"/>
            <w:shd w:fill="FFDDC1"/>
          </w:tcPr>
          <w:p>
            <w:r>
              <w:rPr>
                <w:sz w:val="18"/>
              </w:rPr>
              <w:t>95.6</w:t>
            </w:r>
          </w:p>
        </w:tc>
        <w:tc>
          <w:tcPr>
            <w:tcW w:type="dxa" w:w="1388"/>
            <w:shd w:fill="FFDDC1"/>
          </w:tcPr>
          <w:p>
            <w:r>
              <w:rPr>
                <w:sz w:val="18"/>
              </w:rPr>
              <w:t>90% or higher</w:t>
            </w:r>
          </w:p>
        </w:tc>
        <w:tc>
          <w:tcPr>
            <w:tcW w:type="dxa" w:w="1388"/>
            <w:shd w:fill="FFDDC1"/>
          </w:tcPr>
          <w:p>
            <w:r>
              <w:rPr>
                <w:sz w:val="18"/>
              </w:rPr>
              <w:t>97.5</w:t>
            </w:r>
          </w:p>
        </w:tc>
        <w:tc>
          <w:tcPr>
            <w:tcW w:type="dxa" w:w="1388"/>
            <w:shd w:fill="FFDDC1"/>
          </w:tcPr>
          <w:p>
            <w:r>
              <w:rPr>
                <w:color w:val="008000"/>
                <w:sz w:val="18"/>
              </w:rPr>
              <w:t>Pass</w:t>
            </w:r>
          </w:p>
        </w:tc>
        <w:tc>
          <w:tcPr>
            <w:tcW w:type="dxa" w:w="1388"/>
            <w:shd w:fill="FFDDC1"/>
          </w:tcPr>
          <w:p>
            <w:r>
              <w:rPr>
                <w:sz w:val="18"/>
              </w:rPr>
              <w:t>99 (99-99)</w:t>
            </w:r>
          </w:p>
        </w:tc>
        <w:tc>
          <w:tcPr>
            <w:tcW w:type="dxa" w:w="1388"/>
            <w:shd w:fill="FFDDC1"/>
          </w:tcPr>
          <w:p>
            <w:r>
              <w:rPr>
                <w:sz w:val="18"/>
              </w:rPr>
              <w:t>3/3 (100%)</w:t>
            </w:r>
          </w:p>
        </w:tc>
      </w:tr>
      <w:tr>
        <w:tc>
          <w:tcPr>
            <w:tcW w:type="dxa" w:w="1388"/>
            <w:vMerge w:val="restart"/>
            <w:shd w:fill="D1E8E2"/>
          </w:tcPr>
          <w:p>
            <w:r>
              <w:rPr>
                <w:sz w:val="18"/>
              </w:rPr>
              <w:t>Ns in Sequence (%)</w:t>
            </w:r>
          </w:p>
        </w:tc>
        <w:tc>
          <w:tcPr>
            <w:tcW w:type="dxa" w:w="1388"/>
            <w:shd w:fill="D1E8E2"/>
          </w:tcPr>
          <w:p>
            <w:r>
              <w:rPr>
                <w:sz w:val="18"/>
              </w:rPr>
              <w:t>2526</w:t>
            </w:r>
          </w:p>
        </w:tc>
        <w:tc>
          <w:tcPr>
            <w:tcW w:type="dxa" w:w="1388"/>
            <w:shd w:fill="D1E8E2"/>
          </w:tcPr>
          <w:p>
            <w:r>
              <w:rPr>
                <w:sz w:val="18"/>
              </w:rPr>
              <w:t>0.0</w:t>
            </w:r>
          </w:p>
        </w:tc>
        <w:tc>
          <w:tcPr>
            <w:tcW w:type="dxa" w:w="1388"/>
            <w:shd w:fill="D1E8E2"/>
          </w:tcPr>
          <w:p>
            <w:r>
              <w:rPr>
                <w:sz w:val="18"/>
              </w:rPr>
              <w:t>2% or lower</w:t>
            </w:r>
          </w:p>
        </w:tc>
        <w:tc>
          <w:tcPr>
            <w:tcW w:type="dxa" w:w="1388"/>
            <w:shd w:fill="D1E8E2"/>
          </w:tcPr>
          <w:p>
            <w:r>
              <w:rPr>
                <w:sz w:val="18"/>
              </w:rPr>
              <w:t>0.0</w:t>
            </w:r>
          </w:p>
        </w:tc>
        <w:tc>
          <w:tcPr>
            <w:tcW w:type="dxa" w:w="1388"/>
            <w:shd w:fill="D1E8E2"/>
          </w:tcPr>
          <w:p>
            <w:r>
              <w:rPr>
                <w:color w:val="008000"/>
                <w:sz w:val="18"/>
              </w:rPr>
              <w:t>Pass</w:t>
            </w:r>
          </w:p>
        </w:tc>
        <w:tc>
          <w:tcPr>
            <w:tcW w:type="dxa" w:w="1388"/>
            <w:shd w:fill="D1E8E2"/>
          </w:tcPr>
          <w:p>
            <w:r>
              <w:rPr>
                <w:sz w:val="18"/>
              </w:rPr>
              <w:t>17 (16-17)</w:t>
            </w:r>
          </w:p>
        </w:tc>
        <w:tc>
          <w:tcPr>
            <w:tcW w:type="dxa" w:w="1388"/>
            <w:shd w:fill="D1E8E2"/>
          </w:tcPr>
          <w:p>
            <w:r>
              <w:rPr>
                <w:sz w:val="18"/>
              </w:rPr>
              <w:t>0/2 (0%)</w:t>
            </w:r>
          </w:p>
        </w:tc>
      </w:tr>
      <w:tr>
        <w:tc>
          <w:tcPr>
            <w:tcW w:type="dxa" w:w="1388"/>
            <w:vMerge/>
            <w:shd w:fill="D1E8E2"/>
          </w:tcPr>
          <w:p/>
        </w:tc>
        <w:tc>
          <w:tcPr>
            <w:tcW w:type="dxa" w:w="1388"/>
            <w:shd w:fill="D1E8E2"/>
          </w:tcPr>
          <w:p>
            <w:r>
              <w:rPr>
                <w:sz w:val="18"/>
              </w:rPr>
              <w:t>2524</w:t>
            </w:r>
          </w:p>
        </w:tc>
        <w:tc>
          <w:tcPr>
            <w:tcW w:type="dxa" w:w="1388"/>
            <w:shd w:fill="D1E8E2"/>
          </w:tcPr>
          <w:p>
            <w:r>
              <w:rPr>
                <w:sz w:val="18"/>
              </w:rPr>
              <w:t>0.1</w:t>
            </w:r>
          </w:p>
        </w:tc>
        <w:tc>
          <w:tcPr>
            <w:tcW w:type="dxa" w:w="1388"/>
            <w:shd w:fill="D1E8E2"/>
          </w:tcPr>
          <w:p>
            <w:r>
              <w:rPr>
                <w:sz w:val="18"/>
              </w:rPr>
              <w:t>2% or lower</w:t>
            </w:r>
          </w:p>
        </w:tc>
        <w:tc>
          <w:tcPr>
            <w:tcW w:type="dxa" w:w="1388"/>
            <w:shd w:fill="D1E8E2"/>
          </w:tcPr>
          <w:p>
            <w:r>
              <w:rPr>
                <w:sz w:val="18"/>
              </w:rPr>
              <w:t>1.7</w:t>
            </w:r>
          </w:p>
        </w:tc>
        <w:tc>
          <w:tcPr>
            <w:tcW w:type="dxa" w:w="1388"/>
            <w:shd w:fill="D1E8E2"/>
          </w:tcPr>
          <w:p>
            <w:r>
              <w:rPr>
                <w:color w:val="008000"/>
                <w:sz w:val="18"/>
              </w:rPr>
              <w:t>Pass</w:t>
            </w:r>
          </w:p>
        </w:tc>
        <w:tc>
          <w:tcPr>
            <w:tcW w:type="dxa" w:w="1388"/>
            <w:shd w:fill="D1E8E2"/>
          </w:tcPr>
          <w:p>
            <w:r>
              <w:rPr>
                <w:sz w:val="18"/>
              </w:rPr>
              <w:t>12 (9-17)</w:t>
            </w:r>
          </w:p>
        </w:tc>
        <w:tc>
          <w:tcPr>
            <w:tcW w:type="dxa" w:w="1388"/>
            <w:shd w:fill="D1E8E2"/>
          </w:tcPr>
          <w:p>
            <w:r>
              <w:rPr>
                <w:sz w:val="18"/>
              </w:rPr>
              <w:t>1/3 (33%)</w:t>
            </w:r>
          </w:p>
        </w:tc>
      </w:tr>
      <w:tr>
        <w:tc>
          <w:tcPr>
            <w:tcW w:type="dxa" w:w="1388"/>
            <w:vMerge/>
            <w:shd w:fill="D1E8E2"/>
          </w:tcPr>
          <w:p/>
        </w:tc>
        <w:tc>
          <w:tcPr>
            <w:tcW w:type="dxa" w:w="1388"/>
            <w:shd w:fill="D1E8E2"/>
          </w:tcPr>
          <w:p>
            <w:r>
              <w:rPr>
                <w:sz w:val="18"/>
              </w:rPr>
              <w:t>2525</w:t>
            </w:r>
          </w:p>
        </w:tc>
        <w:tc>
          <w:tcPr>
            <w:tcW w:type="dxa" w:w="1388"/>
            <w:shd w:fill="D1E8E2"/>
          </w:tcPr>
          <w:p>
            <w:r>
              <w:rPr>
                <w:sz w:val="18"/>
              </w:rPr>
              <w:t>1.7</w:t>
            </w:r>
          </w:p>
        </w:tc>
        <w:tc>
          <w:tcPr>
            <w:tcW w:type="dxa" w:w="1388"/>
            <w:shd w:fill="D1E8E2"/>
          </w:tcPr>
          <w:p>
            <w:r>
              <w:rPr>
                <w:sz w:val="18"/>
              </w:rPr>
              <w:t>2% or lower</w:t>
            </w:r>
          </w:p>
        </w:tc>
        <w:tc>
          <w:tcPr>
            <w:tcW w:type="dxa" w:w="1388"/>
            <w:shd w:fill="D1E8E2"/>
          </w:tcPr>
          <w:p>
            <w:r>
              <w:rPr>
                <w:sz w:val="18"/>
              </w:rPr>
              <w:t>0.0</w:t>
            </w:r>
          </w:p>
        </w:tc>
        <w:tc>
          <w:tcPr>
            <w:tcW w:type="dxa" w:w="1388"/>
            <w:shd w:fill="D1E8E2"/>
          </w:tcPr>
          <w:p>
            <w:r>
              <w:rPr>
                <w:color w:val="008000"/>
                <w:sz w:val="18"/>
              </w:rPr>
              <w:t>Pass</w:t>
            </w:r>
          </w:p>
        </w:tc>
        <w:tc>
          <w:tcPr>
            <w:tcW w:type="dxa" w:w="1388"/>
            <w:shd w:fill="D1E8E2"/>
          </w:tcPr>
          <w:p>
            <w:r>
              <w:rPr>
                <w:sz w:val="18"/>
              </w:rPr>
              <w:t>1 (0-1)</w:t>
            </w:r>
          </w:p>
        </w:tc>
        <w:tc>
          <w:tcPr>
            <w:tcW w:type="dxa" w:w="1388"/>
            <w:shd w:fill="D1E8E2"/>
          </w:tcPr>
          <w:p>
            <w:r>
              <w:rPr>
                <w:sz w:val="18"/>
              </w:rPr>
              <w:t>3/3 (100%)</w:t>
            </w:r>
          </w:p>
        </w:tc>
      </w:tr>
      <w:tr>
        <w:tc>
          <w:tcPr>
            <w:tcW w:type="dxa" w:w="1388"/>
            <w:vMerge w:val="restart"/>
            <w:shd w:fill="E2D1E8"/>
          </w:tcPr>
          <w:p>
            <w:r>
              <w:rPr>
                <w:sz w:val="18"/>
              </w:rPr>
              <w:t>Similarity (%)</w:t>
            </w:r>
          </w:p>
        </w:tc>
        <w:tc>
          <w:tcPr>
            <w:tcW w:type="dxa" w:w="1388"/>
            <w:shd w:fill="E2D1E8"/>
          </w:tcPr>
          <w:p>
            <w:r>
              <w:rPr>
                <w:sz w:val="18"/>
              </w:rPr>
              <w:t>2526</w:t>
            </w:r>
          </w:p>
        </w:tc>
        <w:tc>
          <w:tcPr>
            <w:tcW w:type="dxa" w:w="1388"/>
            <w:shd w:fill="E2D1E8"/>
          </w:tcPr>
          <w:p>
            <w:r>
              <w:rPr>
                <w:sz w:val="18"/>
              </w:rPr>
              <w:t>98.9</w:t>
            </w:r>
          </w:p>
        </w:tc>
        <w:tc>
          <w:tcPr>
            <w:tcW w:type="dxa" w:w="1388"/>
            <w:shd w:fill="E2D1E8"/>
          </w:tcPr>
          <w:p>
            <w:r>
              <w:rPr>
                <w:sz w:val="18"/>
              </w:rPr>
              <w:t>98% or higher</w:t>
            </w:r>
          </w:p>
        </w:tc>
        <w:tc>
          <w:tcPr>
            <w:tcW w:type="dxa" w:w="1388"/>
            <w:shd w:fill="E2D1E8"/>
          </w:tcPr>
          <w:p>
            <w:r>
              <w:rPr>
                <w:sz w:val="18"/>
              </w:rPr>
              <w:t>98.9</w:t>
            </w:r>
          </w:p>
        </w:tc>
        <w:tc>
          <w:tcPr>
            <w:tcW w:type="dxa" w:w="1388"/>
            <w:shd w:fill="E2D1E8"/>
          </w:tcPr>
          <w:p>
            <w:r>
              <w:rPr>
                <w:color w:val="008000"/>
                <w:sz w:val="18"/>
              </w:rPr>
              <w:t>Pass</w:t>
            </w:r>
          </w:p>
        </w:tc>
        <w:tc>
          <w:tcPr>
            <w:tcW w:type="dxa" w:w="1388"/>
            <w:shd w:fill="E2D1E8"/>
          </w:tcPr>
          <w:p>
            <w:r>
              <w:rPr>
                <w:sz w:val="18"/>
              </w:rPr>
              <w:t>80 (79-81)</w:t>
            </w:r>
          </w:p>
        </w:tc>
        <w:tc>
          <w:tcPr>
            <w:tcW w:type="dxa" w:w="1388"/>
            <w:shd w:fill="E2D1E8"/>
          </w:tcPr>
          <w:p>
            <w:r>
              <w:rPr>
                <w:sz w:val="18"/>
              </w:rPr>
              <w:t>0/2 (0%)</w:t>
            </w:r>
          </w:p>
        </w:tc>
      </w:tr>
      <w:tr>
        <w:tc>
          <w:tcPr>
            <w:tcW w:type="dxa" w:w="1388"/>
            <w:vMerge/>
            <w:shd w:fill="E2D1E8"/>
          </w:tcPr>
          <w:p/>
        </w:tc>
        <w:tc>
          <w:tcPr>
            <w:tcW w:type="dxa" w:w="1388"/>
            <w:shd w:fill="E2D1E8"/>
          </w:tcPr>
          <w:p>
            <w:r>
              <w:rPr>
                <w:sz w:val="18"/>
              </w:rPr>
              <w:t>2524</w:t>
            </w:r>
          </w:p>
        </w:tc>
        <w:tc>
          <w:tcPr>
            <w:tcW w:type="dxa" w:w="1388"/>
            <w:shd w:fill="E2D1E8"/>
          </w:tcPr>
          <w:p>
            <w:r>
              <w:rPr>
                <w:sz w:val="18"/>
              </w:rPr>
              <w:t>99.1</w:t>
            </w:r>
          </w:p>
        </w:tc>
        <w:tc>
          <w:tcPr>
            <w:tcW w:type="dxa" w:w="1388"/>
            <w:shd w:fill="E2D1E8"/>
          </w:tcPr>
          <w:p>
            <w:r>
              <w:rPr>
                <w:sz w:val="18"/>
              </w:rPr>
              <w:t>98% or higher</w:t>
            </w:r>
          </w:p>
        </w:tc>
        <w:tc>
          <w:tcPr>
            <w:tcW w:type="dxa" w:w="1388"/>
            <w:shd w:fill="E2D1E8"/>
          </w:tcPr>
          <w:p>
            <w:r>
              <w:rPr>
                <w:sz w:val="18"/>
              </w:rPr>
              <w:t>95.0</w:t>
            </w:r>
          </w:p>
        </w:tc>
        <w:tc>
          <w:tcPr>
            <w:tcW w:type="dxa" w:w="1388"/>
            <w:shd w:fill="E2D1E8"/>
          </w:tcPr>
          <w:p>
            <w:r>
              <w:rPr>
                <w:color w:val="008000"/>
                <w:sz w:val="18"/>
              </w:rPr>
              <w:t>Pass</w:t>
            </w:r>
          </w:p>
        </w:tc>
        <w:tc>
          <w:tcPr>
            <w:tcW w:type="dxa" w:w="1388"/>
            <w:shd w:fill="E2D1E8"/>
          </w:tcPr>
          <w:p>
            <w:r>
              <w:rPr>
                <w:sz w:val="18"/>
              </w:rPr>
              <w:t>85 (81-89)</w:t>
            </w:r>
          </w:p>
        </w:tc>
        <w:tc>
          <w:tcPr>
            <w:tcW w:type="dxa" w:w="1388"/>
            <w:shd w:fill="E2D1E8"/>
          </w:tcPr>
          <w:p>
            <w:r>
              <w:rPr>
                <w:sz w:val="18"/>
              </w:rPr>
              <w:t>0/3 (0%)</w:t>
            </w:r>
          </w:p>
        </w:tc>
      </w:tr>
      <w:tr>
        <w:tc>
          <w:tcPr>
            <w:tcW w:type="dxa" w:w="1388"/>
            <w:vMerge/>
            <w:shd w:fill="E2D1E8"/>
          </w:tcPr>
          <w:p/>
        </w:tc>
        <w:tc>
          <w:tcPr>
            <w:tcW w:type="dxa" w:w="1388"/>
            <w:shd w:fill="E2D1E8"/>
          </w:tcPr>
          <w:p>
            <w:r>
              <w:rPr>
                <w:sz w:val="18"/>
              </w:rPr>
              <w:t>2525</w:t>
            </w:r>
          </w:p>
        </w:tc>
        <w:tc>
          <w:tcPr>
            <w:tcW w:type="dxa" w:w="1388"/>
            <w:shd w:fill="E2D1E8"/>
          </w:tcPr>
          <w:p>
            <w:r>
              <w:rPr>
                <w:sz w:val="18"/>
              </w:rPr>
              <w:t>76.2</w:t>
            </w:r>
          </w:p>
        </w:tc>
        <w:tc>
          <w:tcPr>
            <w:tcW w:type="dxa" w:w="1388"/>
            <w:shd w:fill="E2D1E8"/>
          </w:tcPr>
          <w:p>
            <w:r>
              <w:rPr>
                <w:sz w:val="18"/>
              </w:rPr>
              <w:t>98% or higher</w:t>
            </w:r>
          </w:p>
        </w:tc>
        <w:tc>
          <w:tcPr>
            <w:tcW w:type="dxa" w:w="1388"/>
            <w:shd w:fill="E2D1E8"/>
          </w:tcPr>
          <w:p>
            <w:r>
              <w:rPr>
                <w:sz w:val="18"/>
              </w:rPr>
              <w:t>96.1</w:t>
            </w:r>
          </w:p>
        </w:tc>
        <w:tc>
          <w:tcPr>
            <w:tcW w:type="dxa" w:w="1388"/>
            <w:shd w:fill="E2D1E8"/>
          </w:tcPr>
          <w:p>
            <w:r>
              <w:rPr>
                <w:color w:val="FF0000"/>
                <w:sz w:val="18"/>
              </w:rPr>
              <w:t>Fail</w:t>
            </w:r>
          </w:p>
        </w:tc>
        <w:tc>
          <w:tcPr>
            <w:tcW w:type="dxa" w:w="1388"/>
            <w:shd w:fill="E2D1E8"/>
          </w:tcPr>
          <w:p>
            <w:r>
              <w:rPr>
                <w:sz w:val="18"/>
              </w:rPr>
              <w:t>97 (97-98)</w:t>
            </w:r>
          </w:p>
        </w:tc>
        <w:tc>
          <w:tcPr>
            <w:tcW w:type="dxa" w:w="1388"/>
            <w:shd w:fill="E2D1E8"/>
          </w:tcPr>
          <w:p>
            <w:r>
              <w:rPr>
                <w:sz w:val="18"/>
              </w:rPr>
              <w:t>1/3 (33%)</w:t>
            </w:r>
          </w:p>
        </w:tc>
      </w:tr>
      <w:tr>
        <w:tc>
          <w:tcPr>
            <w:tcW w:type="dxa" w:w="1388"/>
            <w:vMerge w:val="restart"/>
            <w:shd w:fill="FFFACD"/>
          </w:tcPr>
          <w:p>
            <w:r>
              <w:rPr>
                <w:sz w:val="18"/>
              </w:rPr>
              <w:t>Read Coverage (mean)</w:t>
            </w:r>
          </w:p>
        </w:tc>
        <w:tc>
          <w:tcPr>
            <w:tcW w:type="dxa" w:w="1388"/>
            <w:shd w:fill="FFFACD"/>
          </w:tcPr>
          <w:p>
            <w:r>
              <w:rPr>
                <w:sz w:val="18"/>
              </w:rPr>
              <w:t>2526</w:t>
            </w:r>
          </w:p>
        </w:tc>
        <w:tc>
          <w:tcPr>
            <w:tcW w:type="dxa" w:w="1388"/>
            <w:shd w:fill="FFFACD"/>
          </w:tcPr>
          <w:p>
            <w:r>
              <w:rPr>
                <w:sz w:val="18"/>
              </w:rPr>
              <w:t>5903.0</w:t>
            </w:r>
          </w:p>
        </w:tc>
        <w:tc>
          <w:tcPr>
            <w:tcW w:type="dxa" w:w="1388"/>
            <w:shd w:fill="FFFACD"/>
          </w:tcPr>
          <w:p>
            <w:r>
              <w:rPr>
                <w:sz w:val="18"/>
              </w:rPr>
              <w:t>50 or higher</w:t>
            </w:r>
          </w:p>
        </w:tc>
        <w:tc>
          <w:tcPr>
            <w:tcW w:type="dxa" w:w="1388"/>
            <w:shd w:fill="FFFACD"/>
          </w:tcPr>
          <w:p>
            <w:r>
              <w:rPr>
                <w:sz w:val="18"/>
              </w:rPr>
              <w:t>11912.0</w:t>
            </w:r>
          </w:p>
        </w:tc>
        <w:tc>
          <w:tcPr>
            <w:tcW w:type="dxa" w:w="1388"/>
            <w:shd w:fill="FFFACD"/>
          </w:tcPr>
          <w:p>
            <w:r>
              <w:rPr>
                <w:color w:val="008000"/>
                <w:sz w:val="18"/>
              </w:rPr>
              <w:t>Pass</w:t>
            </w:r>
          </w:p>
        </w:tc>
        <w:tc>
          <w:tcPr>
            <w:tcW w:type="dxa" w:w="1388"/>
            <w:shd w:fill="FFFACD"/>
          </w:tcPr>
          <w:p>
            <w:r>
              <w:rPr>
                <w:sz w:val="18"/>
              </w:rPr>
              <w:t>1191 (1191-1191)</w:t>
            </w:r>
          </w:p>
        </w:tc>
        <w:tc>
          <w:tcPr>
            <w:tcW w:type="dxa" w:w="1388"/>
            <w:shd w:fill="FFFACD"/>
          </w:tcPr>
          <w:p>
            <w:r>
              <w:rPr>
                <w:sz w:val="18"/>
              </w:rPr>
              <w:t>1/2 (50%)</w:t>
            </w:r>
          </w:p>
        </w:tc>
      </w:tr>
      <w:tr>
        <w:tc>
          <w:tcPr>
            <w:tcW w:type="dxa" w:w="1388"/>
            <w:vMerge/>
            <w:shd w:fill="FFFACD"/>
          </w:tcPr>
          <w:p/>
        </w:tc>
        <w:tc>
          <w:tcPr>
            <w:tcW w:type="dxa" w:w="1388"/>
            <w:shd w:fill="FFFACD"/>
          </w:tcPr>
          <w:p>
            <w:r>
              <w:rPr>
                <w:sz w:val="18"/>
              </w:rPr>
              <w:t>2524</w:t>
            </w:r>
          </w:p>
        </w:tc>
        <w:tc>
          <w:tcPr>
            <w:tcW w:type="dxa" w:w="1388"/>
            <w:shd w:fill="FFFACD"/>
          </w:tcPr>
          <w:p>
            <w:r>
              <w:rPr>
                <w:sz w:val="18"/>
              </w:rPr>
              <w:t>2954.0</w:t>
            </w:r>
          </w:p>
        </w:tc>
        <w:tc>
          <w:tcPr>
            <w:tcW w:type="dxa" w:w="1388"/>
            <w:shd w:fill="FFFACD"/>
          </w:tcPr>
          <w:p>
            <w:r>
              <w:rPr>
                <w:sz w:val="18"/>
              </w:rPr>
              <w:t>50 or higher</w:t>
            </w:r>
          </w:p>
        </w:tc>
        <w:tc>
          <w:tcPr>
            <w:tcW w:type="dxa" w:w="1388"/>
            <w:shd w:fill="FFFACD"/>
          </w:tcPr>
          <w:p>
            <w:r>
              <w:rPr>
                <w:sz w:val="18"/>
              </w:rPr>
              <w:t>355.0</w:t>
            </w:r>
          </w:p>
        </w:tc>
        <w:tc>
          <w:tcPr>
            <w:tcW w:type="dxa" w:w="1388"/>
            <w:shd w:fill="FFFACD"/>
          </w:tcPr>
          <w:p>
            <w:r>
              <w:rPr>
                <w:color w:val="008000"/>
                <w:sz w:val="18"/>
              </w:rPr>
              <w:t>Pass</w:t>
            </w:r>
          </w:p>
        </w:tc>
        <w:tc>
          <w:tcPr>
            <w:tcW w:type="dxa" w:w="1388"/>
            <w:shd w:fill="FFFACD"/>
          </w:tcPr>
          <w:p>
            <w:r>
              <w:rPr>
                <w:sz w:val="18"/>
              </w:rPr>
              <w:t>2237 (1296-3177)</w:t>
            </w:r>
          </w:p>
        </w:tc>
        <w:tc>
          <w:tcPr>
            <w:tcW w:type="dxa" w:w="1388"/>
            <w:shd w:fill="FFFACD"/>
          </w:tcPr>
          <w:p>
            <w:r>
              <w:rPr>
                <w:sz w:val="18"/>
              </w:rPr>
              <w:t>2/3 (66%)</w:t>
            </w:r>
          </w:p>
        </w:tc>
      </w:tr>
      <w:tr>
        <w:tc>
          <w:tcPr>
            <w:tcW w:type="dxa" w:w="1388"/>
            <w:vMerge/>
            <w:shd w:fill="FFFACD"/>
          </w:tcPr>
          <w:p/>
        </w:tc>
        <w:tc>
          <w:tcPr>
            <w:tcW w:type="dxa" w:w="1388"/>
            <w:shd w:fill="FFFACD"/>
          </w:tcPr>
          <w:p>
            <w:r>
              <w:rPr>
                <w:sz w:val="18"/>
              </w:rPr>
              <w:t>2525</w:t>
            </w:r>
          </w:p>
        </w:tc>
        <w:tc>
          <w:tcPr>
            <w:tcW w:type="dxa" w:w="1388"/>
            <w:shd w:fill="FFFACD"/>
          </w:tcPr>
          <w:p>
            <w:r>
              <w:rPr>
                <w:sz w:val="18"/>
              </w:rPr>
              <w:t>23378.0</w:t>
            </w:r>
          </w:p>
        </w:tc>
        <w:tc>
          <w:tcPr>
            <w:tcW w:type="dxa" w:w="1388"/>
            <w:shd w:fill="FFFACD"/>
          </w:tcPr>
          <w:p>
            <w:r>
              <w:rPr>
                <w:sz w:val="18"/>
              </w:rPr>
              <w:t>50 or higher</w:t>
            </w:r>
          </w:p>
        </w:tc>
        <w:tc>
          <w:tcPr>
            <w:tcW w:type="dxa" w:w="1388"/>
            <w:shd w:fill="FFFACD"/>
          </w:tcPr>
          <w:p>
            <w:r>
              <w:rPr>
                <w:sz w:val="18"/>
              </w:rPr>
              <w:t>23378.0</w:t>
            </w:r>
          </w:p>
        </w:tc>
        <w:tc>
          <w:tcPr>
            <w:tcW w:type="dxa" w:w="1388"/>
            <w:shd w:fill="FFFACD"/>
          </w:tcPr>
          <w:p>
            <w:r>
              <w:rPr>
                <w:color w:val="008000"/>
                <w:sz w:val="18"/>
              </w:rPr>
              <w:t>Pass</w:t>
            </w:r>
          </w:p>
        </w:tc>
        <w:tc>
          <w:tcPr>
            <w:tcW w:type="dxa" w:w="1388"/>
            <w:shd w:fill="FFFACD"/>
          </w:tcPr>
          <w:p>
            <w:r>
              <w:rPr>
                <w:sz w:val="18"/>
              </w:rPr>
              <w:t>15086 (9132-21041)</w:t>
            </w:r>
          </w:p>
        </w:tc>
        <w:tc>
          <w:tcPr>
            <w:tcW w:type="dxa" w:w="1388"/>
            <w:shd w:fill="FFFACD"/>
          </w:tcPr>
          <w:p>
            <w:r>
              <w:rPr>
                <w:sz w:val="18"/>
              </w:rPr>
              <w:t>2/3 (66%)</w:t>
            </w:r>
          </w:p>
        </w:tc>
      </w:tr>
    </w:tbl>
    <w:p>
      <w:r>
        <w:br/>
        <w:t>* Recommended Value</w:t>
      </w:r>
    </w:p>
    <w:p>
      <w:pPr>
        <w:pStyle w:val="ListBullet"/>
      </w:pPr>
      <w:r>
        <w:rPr>
          <w:sz w:val="16"/>
        </w:rPr>
        <w:t>Obtained sufficient genome coverage (90% or higher).</w:t>
      </w:r>
    </w:p>
    <w:p>
      <w:pPr>
        <w:pStyle w:val="ListBullet"/>
      </w:pPr>
      <w:r>
        <w:rPr>
          <w:sz w:val="16"/>
        </w:rPr>
        <w:t>Obtained sufficient Ns in Sequence (2% or lower).</w:t>
      </w:r>
    </w:p>
    <w:p>
      <w:pPr>
        <w:pStyle w:val="ListBullet"/>
      </w:pPr>
      <w:r>
        <w:rPr>
          <w:sz w:val="16"/>
        </w:rPr>
        <w:t>Obtained sufficient Similarity (98% or higher).</w:t>
      </w:r>
    </w:p>
    <w:p>
      <w:pPr>
        <w:pStyle w:val="ListBullet"/>
      </w:pPr>
      <w:r>
        <w:rPr>
          <w:sz w:val="16"/>
        </w:rPr>
        <w:t>Obtained sufficient Read Coverage (Mean depth of 50 or higher).</w:t>
      </w:r>
    </w:p>
    <w:p>
      <w:r>
        <w:br w:type="page"/>
      </w:r>
    </w:p>
    <w:p>
      <w:pPr>
        <w:pStyle w:val="Heading1"/>
      </w:pPr>
      <w:r>
        <w:t>Sample 2524</w:t>
      </w:r>
    </w:p>
    <w:p>
      <w:pPr>
        <w:pStyle w:val="Heading2"/>
      </w:pPr>
      <w:r>
        <w:t>Lineage assignment</w:t>
      </w:r>
    </w:p>
    <w:p>
      <w:pPr>
        <w:pStyle w:val="ListBullet"/>
      </w:pPr>
      <w:r>
        <w:t>Your lab's clade assignment matches the reference lab's and the most frequently submitted by other participants.</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Others (3)</w:t>
            </w:r>
          </w:p>
        </w:tc>
        <w:tc>
          <w:tcPr>
            <w:tcW w:type="dxa" w:w="2776"/>
          </w:tcPr>
          <w:p>
            <w:r>
              <w:t>RSV-B</w:t>
            </w:r>
          </w:p>
        </w:tc>
        <w:tc>
          <w:tcPr>
            <w:tcW w:type="dxa" w:w="2776"/>
          </w:tcPr>
          <w:p>
            <w:r>
              <w:t>B.D.4.1.1</w:t>
            </w:r>
          </w:p>
        </w:tc>
        <w:tc>
          <w:tcPr>
            <w:tcW w:type="dxa" w:w="2776"/>
          </w:tcPr>
          <w:p>
            <w:r>
              <w:t>GB5.0.5a</w:t>
            </w:r>
          </w:p>
        </w:tc>
      </w:tr>
      <w:tr>
        <w:tc>
          <w:tcPr>
            <w:tcW w:type="dxa" w:w="2776"/>
          </w:tcPr>
          <w:p>
            <w:r>
              <w:rPr>
                <w:i/>
              </w:rPr>
              <w:t>Reference</w:t>
            </w:r>
          </w:p>
        </w:tc>
        <w:tc>
          <w:tcPr>
            <w:tcW w:type="dxa" w:w="2776"/>
          </w:tcPr>
          <w:p>
            <w:r>
              <w:t>RSV-B</w:t>
            </w:r>
          </w:p>
        </w:tc>
        <w:tc>
          <w:tcPr>
            <w:tcW w:type="dxa" w:w="2776"/>
          </w:tcPr>
          <w:p>
            <w:r>
              <w:t>B.D.4.1.1</w:t>
            </w:r>
          </w:p>
        </w:tc>
        <w:tc>
          <w:tcPr>
            <w:tcW w:type="dxa" w:w="2776"/>
          </w:tcPr>
          <w:p>
            <w:r>
              <w:t>GB5.0.5a</w:t>
            </w:r>
          </w:p>
        </w:tc>
      </w:tr>
      <w:tr>
        <w:tc>
          <w:tcPr>
            <w:tcW w:type="dxa" w:w="2776"/>
          </w:tcPr>
          <w:p>
            <w:r>
              <w:rPr>
                <w:i/>
              </w:rPr>
              <w:t>WR099</w:t>
            </w:r>
          </w:p>
        </w:tc>
        <w:tc>
          <w:tcPr>
            <w:tcW w:type="dxa" w:w="2776"/>
          </w:tcPr>
          <w:p>
            <w:r>
              <w:t>RSV-B</w:t>
            </w:r>
          </w:p>
        </w:tc>
        <w:tc>
          <w:tcPr>
            <w:tcW w:type="dxa" w:w="2776"/>
          </w:tcPr>
          <w:p>
            <w:r>
              <w:t>B.D.4.1.1</w:t>
            </w:r>
          </w:p>
        </w:tc>
        <w:tc>
          <w:tcPr>
            <w:tcW w:type="dxa" w:w="2776"/>
          </w:tcPr>
          <w:p>
            <w:r>
              <w:t>GB5.0.5a</w:t>
            </w:r>
          </w:p>
        </w:tc>
      </w:tr>
    </w:tbl>
    <w:p>
      <w:r>
        <w:rPr>
          <w:b/>
          <w:i/>
        </w:rPr>
        <w:t>Table 1. Clade assignments for sample 2524, including RSV subtype.</w:t>
        <w:br/>
        <w:br/>
      </w:r>
    </w:p>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Obtained sufficient Similarity (98% or higher).</w:t>
      </w:r>
    </w:p>
    <w:p>
      <w:pPr>
        <w:pStyle w:val="ListBullet"/>
      </w:pPr>
      <w:r>
        <w:t>Obtained sufficient Read Coverage (Mean depth of 50 or higher).</w:t>
      </w:r>
    </w:p>
    <w:p>
      <w:pPr>
        <w:jc w:val="center"/>
      </w:pPr>
      <w:r>
        <w:rPr>
          <w:b/>
          <w:i/>
        </w:rPr>
        <w:t>Figure 1. Quality metrics for sample 2524 for participants that submitted appropriate data files</w:t>
      </w:r>
    </w:p>
    <w:p>
      <w:pPr>
        <w:jc w:val="center"/>
      </w:pPr>
      <w:r>
        <w:drawing>
          <wp:inline xmlns:a="http://schemas.openxmlformats.org/drawingml/2006/main" xmlns:pic="http://schemas.openxmlformats.org/drawingml/2006/picture">
            <wp:extent cx="5486400" cy="2728241"/>
            <wp:docPr id="1" name="Picture 1"/>
            <wp:cNvGraphicFramePr>
              <a:graphicFrameLocks noChangeAspect="1"/>
            </wp:cNvGraphicFramePr>
            <a:graphic>
              <a:graphicData uri="http://schemas.openxmlformats.org/drawingml/2006/picture">
                <pic:pic>
                  <pic:nvPicPr>
                    <pic:cNvPr id="0" name="2524_metrics_plot.png"/>
                    <pic:cNvPicPr/>
                  </pic:nvPicPr>
                  <pic:blipFill>
                    <a:blip r:embed="rId10"/>
                    <a:stretch>
                      <a:fillRect/>
                    </a:stretch>
                  </pic:blipFill>
                  <pic:spPr>
                    <a:xfrm>
                      <a:off x="0" y="0"/>
                      <a:ext cx="5486400" cy="2728241"/>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(3)</w:t>
            </w:r>
          </w:p>
        </w:tc>
        <w:tc>
          <w:tcPr>
            <w:tcW w:type="dxa" w:w="2221"/>
          </w:tcPr>
          <w:p>
            <w:r>
              <w:rPr>
                <w:highlight w:val="yellow"/>
              </w:rPr>
              <w:t>86.0</w:t>
            </w:r>
          </w:p>
        </w:tc>
        <w:tc>
          <w:tcPr>
            <w:tcW w:type="dxa" w:w="2221"/>
          </w:tcPr>
          <w:p>
            <w:r>
              <w:rPr>
                <w:highlight w:val="yellow"/>
              </w:rPr>
              <w:t>11.7</w:t>
            </w:r>
          </w:p>
        </w:tc>
        <w:tc>
          <w:tcPr>
            <w:tcW w:type="dxa" w:w="2221"/>
          </w:tcPr>
          <w:p>
            <w:r>
              <w:rPr>
                <w:highlight w:val="yellow"/>
              </w:rPr>
              <w:t>85.4</w:t>
            </w:r>
          </w:p>
        </w:tc>
        <w:tc>
          <w:tcPr>
            <w:tcW w:type="dxa" w:w="2221"/>
          </w:tcPr>
          <w:p>
            <w:r>
              <w:t>1491.1</w:t>
            </w:r>
          </w:p>
        </w:tc>
      </w:tr>
      <w:tr>
        <w:tc>
          <w:tcPr>
            <w:tcW w:type="dxa" w:w="2221"/>
          </w:tcPr>
          <w:p>
            <w:r>
              <w:rPr>
                <w:i/>
              </w:rPr>
              <w:t>Reference</w:t>
            </w:r>
          </w:p>
        </w:tc>
        <w:tc>
          <w:tcPr>
            <w:tcW w:type="dxa" w:w="2221"/>
          </w:tcPr>
          <w:p>
            <w:r>
              <w:t>95.7</w:t>
            </w:r>
          </w:p>
        </w:tc>
        <w:tc>
          <w:tcPr>
            <w:tcW w:type="dxa" w:w="2221"/>
          </w:tcPr>
          <w:p>
            <w:r>
              <w:t>1.7</w:t>
            </w:r>
          </w:p>
        </w:tc>
        <w:tc>
          <w:tcPr>
            <w:tcW w:type="dxa" w:w="2221"/>
          </w:tcPr>
          <w:p>
            <w:r>
              <w:rPr>
                <w:highlight w:val="yellow"/>
              </w:rPr>
              <w:t>95.0</w:t>
            </w:r>
          </w:p>
        </w:tc>
        <w:tc>
          <w:tcPr>
            <w:tcW w:type="dxa" w:w="2221"/>
          </w:tcPr>
          <w:p>
            <w:r>
              <w:t>355.0</w:t>
            </w:r>
          </w:p>
        </w:tc>
      </w:tr>
      <w:tr>
        <w:tc>
          <w:tcPr>
            <w:tcW w:type="dxa" w:w="2221"/>
          </w:tcPr>
          <w:p>
            <w:r>
              <w:rPr>
                <w:i/>
              </w:rPr>
              <w:t>WR099</w:t>
            </w:r>
          </w:p>
        </w:tc>
        <w:tc>
          <w:tcPr>
            <w:tcW w:type="dxa" w:w="2221"/>
          </w:tcPr>
          <w:p>
            <w:r>
              <w:t>99.7</w:t>
            </w:r>
          </w:p>
        </w:tc>
        <w:tc>
          <w:tcPr>
            <w:tcW w:type="dxa" w:w="2221"/>
          </w:tcPr>
          <w:p>
            <w:r>
              <w:t>0.1</w:t>
            </w:r>
          </w:p>
        </w:tc>
        <w:tc>
          <w:tcPr>
            <w:tcW w:type="dxa" w:w="2221"/>
          </w:tcPr>
          <w:p>
            <w:r>
              <w:t>99.1</w:t>
            </w:r>
          </w:p>
        </w:tc>
        <w:tc>
          <w:tcPr>
            <w:tcW w:type="dxa" w:w="2221"/>
          </w:tcPr>
          <w:p>
            <w:r>
              <w:t>2953.7</w:t>
            </w:r>
          </w:p>
        </w:tc>
      </w:tr>
    </w:tbl>
    <w:p>
      <w:r>
        <w:rPr>
          <w:b/>
          <w:i/>
        </w:rPr>
        <w:t>Table 2. Quality metrics data for sample 2524</w:t>
      </w:r>
      <w:r>
        <w:br w:type="page"/>
      </w:r>
    </w:p>
    <w:p>
      <w:pPr>
        <w:pStyle w:val="Heading1"/>
      </w:pPr>
      <w:r>
        <w:t>Sample 2525</w:t>
      </w:r>
    </w:p>
    <w:p>
      <w:pPr>
        <w:pStyle w:val="Heading2"/>
      </w:pPr>
      <w:r>
        <w:t>Lineage assignment</w:t>
      </w:r>
    </w:p>
    <w:p>
      <w:pPr>
        <w:pStyle w:val="ListBullet"/>
      </w:pPr>
      <w:r>
        <w:t>Your lab's clade assignment differs from the reference lab's and the most frequently submitted by other participants.</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Others (3)</w:t>
            </w:r>
          </w:p>
        </w:tc>
        <w:tc>
          <w:tcPr>
            <w:tcW w:type="dxa" w:w="2776"/>
          </w:tcPr>
          <w:p>
            <w:r>
              <w:t>RSV-A</w:t>
            </w:r>
          </w:p>
        </w:tc>
        <w:tc>
          <w:tcPr>
            <w:tcW w:type="dxa" w:w="2776"/>
          </w:tcPr>
          <w:p>
            <w:r>
              <w:t>A.D.3</w:t>
            </w:r>
          </w:p>
        </w:tc>
        <w:tc>
          <w:tcPr>
            <w:tcW w:type="dxa" w:w="2776"/>
          </w:tcPr>
          <w:p>
            <w:r>
              <w:t>GA2.3.5</w:t>
            </w:r>
          </w:p>
        </w:tc>
      </w:tr>
      <w:tr>
        <w:tc>
          <w:tcPr>
            <w:tcW w:type="dxa" w:w="2776"/>
          </w:tcPr>
          <w:p>
            <w:r>
              <w:rPr>
                <w:i/>
              </w:rPr>
              <w:t>Reference</w:t>
            </w:r>
          </w:p>
        </w:tc>
        <w:tc>
          <w:tcPr>
            <w:tcW w:type="dxa" w:w="2776"/>
          </w:tcPr>
          <w:p>
            <w:r>
              <w:t>RSV-A</w:t>
            </w:r>
          </w:p>
        </w:tc>
        <w:tc>
          <w:tcPr>
            <w:tcW w:type="dxa" w:w="2776"/>
          </w:tcPr>
          <w:p>
            <w:r>
              <w:t>A.D.3</w:t>
            </w:r>
          </w:p>
        </w:tc>
        <w:tc>
          <w:tcPr>
            <w:tcW w:type="dxa" w:w="2776"/>
          </w:tcPr>
          <w:p>
            <w:r>
              <w:t>GA2.3.5</w:t>
            </w:r>
          </w:p>
        </w:tc>
      </w:tr>
      <w:tr>
        <w:tc>
          <w:tcPr>
            <w:tcW w:type="dxa" w:w="2776"/>
          </w:tcPr>
          <w:p>
            <w:r>
              <w:rPr>
                <w:i/>
              </w:rPr>
              <w:t>WR099</w:t>
            </w:r>
          </w:p>
        </w:tc>
        <w:tc>
          <w:tcPr>
            <w:tcW w:type="dxa" w:w="2776"/>
          </w:tcPr>
          <w:p>
            <w:r>
              <w:t>RSV-A</w:t>
            </w:r>
          </w:p>
        </w:tc>
        <w:tc>
          <w:tcPr>
            <w:tcW w:type="dxa" w:w="2776"/>
          </w:tcPr>
          <w:p>
            <w:r>
              <w:rPr>
                <w:highlight w:val="yellow"/>
              </w:rPr>
              <w:t>A.3.1.1</w:t>
            </w:r>
          </w:p>
        </w:tc>
        <w:tc>
          <w:tcPr>
            <w:tcW w:type="dxa" w:w="2776"/>
          </w:tcPr>
          <w:p>
            <w:r>
              <w:rPr>
                <w:highlight w:val="yellow"/>
              </w:rPr>
              <w:t>GA2.3.3</w:t>
            </w:r>
          </w:p>
        </w:tc>
      </w:tr>
    </w:tbl>
    <w:p>
      <w:r>
        <w:rPr>
          <w:b/>
          <w:i/>
        </w:rPr>
        <w:t>Table 3. Clade assignments for sample 2525, including RSV subtype.</w:t>
        <w:br/>
        <w:br/>
      </w:r>
    </w:p>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Failed to satisfy the threshold for Similarity (98%).</w:t>
      </w:r>
    </w:p>
    <w:p>
      <w:pPr>
        <w:pStyle w:val="ListBullet"/>
      </w:pPr>
      <w:r>
        <w:t>Obtained sufficient Read Coverage (Mean depth of 50 or higher).</w:t>
      </w:r>
    </w:p>
    <w:p>
      <w:pPr>
        <w:jc w:val="center"/>
      </w:pPr>
      <w:r>
        <w:rPr>
          <w:b/>
          <w:i/>
        </w:rPr>
        <w:t>Figure 2. Quality metrics for sample 2525 for participants that submitted appropriate data files</w:t>
      </w:r>
    </w:p>
    <w:p>
      <w:pPr>
        <w:jc w:val="center"/>
      </w:pPr>
      <w:r>
        <w:drawing>
          <wp:inline xmlns:a="http://schemas.openxmlformats.org/drawingml/2006/main" xmlns:pic="http://schemas.openxmlformats.org/drawingml/2006/picture">
            <wp:extent cx="5486400" cy="2728241"/>
            <wp:docPr id="2" name="Picture 2"/>
            <wp:cNvGraphicFramePr>
              <a:graphicFrameLocks noChangeAspect="1"/>
            </wp:cNvGraphicFramePr>
            <a:graphic>
              <a:graphicData uri="http://schemas.openxmlformats.org/drawingml/2006/picture">
                <pic:pic>
                  <pic:nvPicPr>
                    <pic:cNvPr id="0" name="2525_metrics_plot.png"/>
                    <pic:cNvPicPr/>
                  </pic:nvPicPr>
                  <pic:blipFill>
                    <a:blip r:embed="rId11"/>
                    <a:stretch>
                      <a:fillRect/>
                    </a:stretch>
                  </pic:blipFill>
                  <pic:spPr>
                    <a:xfrm>
                      <a:off x="0" y="0"/>
                      <a:ext cx="5486400" cy="2728241"/>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(3)</w:t>
            </w:r>
          </w:p>
        </w:tc>
        <w:tc>
          <w:tcPr>
            <w:tcW w:type="dxa" w:w="2221"/>
          </w:tcPr>
          <w:p>
            <w:r>
              <w:t>99.0</w:t>
            </w:r>
          </w:p>
        </w:tc>
        <w:tc>
          <w:tcPr>
            <w:tcW w:type="dxa" w:w="2221"/>
          </w:tcPr>
          <w:p>
            <w:r>
              <w:t>0.7</w:t>
            </w:r>
          </w:p>
        </w:tc>
        <w:tc>
          <w:tcPr>
            <w:tcW w:type="dxa" w:w="2221"/>
          </w:tcPr>
          <w:p>
            <w:r>
              <w:rPr>
                <w:highlight w:val="yellow"/>
              </w:rPr>
              <w:t>97.4</w:t>
            </w:r>
          </w:p>
        </w:tc>
        <w:tc>
          <w:tcPr>
            <w:tcW w:type="dxa" w:w="2221"/>
          </w:tcPr>
          <w:p>
            <w:r>
              <w:t>10057.4</w:t>
            </w:r>
          </w:p>
        </w:tc>
      </w:tr>
      <w:tr>
        <w:tc>
          <w:tcPr>
            <w:tcW w:type="dxa" w:w="2221"/>
          </w:tcPr>
          <w:p>
            <w:r>
              <w:rPr>
                <w:i/>
              </w:rPr>
              <w:t>Reference</w:t>
            </w:r>
          </w:p>
        </w:tc>
        <w:tc>
          <w:tcPr>
            <w:tcW w:type="dxa" w:w="2221"/>
          </w:tcPr>
          <w:p>
            <w:r>
              <w:t>97.5</w:t>
            </w:r>
          </w:p>
        </w:tc>
        <w:tc>
          <w:tcPr>
            <w:tcW w:type="dxa" w:w="2221"/>
          </w:tcPr>
          <w:p>
            <w:r>
              <w:t>0.0</w:t>
            </w:r>
          </w:p>
        </w:tc>
        <w:tc>
          <w:tcPr>
            <w:tcW w:type="dxa" w:w="2221"/>
          </w:tcPr>
          <w:p>
            <w:r>
              <w:rPr>
                <w:highlight w:val="yellow"/>
              </w:rPr>
              <w:t>96.1</w:t>
            </w:r>
          </w:p>
        </w:tc>
        <w:tc>
          <w:tcPr>
            <w:tcW w:type="dxa" w:w="2221"/>
          </w:tcPr>
          <w:p>
            <w:r>
              <w:t>23378.1</w:t>
            </w:r>
          </w:p>
        </w:tc>
      </w:tr>
      <w:tr>
        <w:tc>
          <w:tcPr>
            <w:tcW w:type="dxa" w:w="2221"/>
          </w:tcPr>
          <w:p>
            <w:r>
              <w:rPr>
                <w:i/>
              </w:rPr>
              <w:t>WR099</w:t>
            </w:r>
          </w:p>
        </w:tc>
        <w:tc>
          <w:tcPr>
            <w:tcW w:type="dxa" w:w="2221"/>
          </w:tcPr>
          <w:p>
            <w:r>
              <w:t>95.6</w:t>
            </w:r>
          </w:p>
        </w:tc>
        <w:tc>
          <w:tcPr>
            <w:tcW w:type="dxa" w:w="2221"/>
          </w:tcPr>
          <w:p>
            <w:r>
              <w:t>1.7</w:t>
            </w:r>
          </w:p>
        </w:tc>
        <w:tc>
          <w:tcPr>
            <w:tcW w:type="dxa" w:w="2221"/>
          </w:tcPr>
          <w:p>
            <w:r>
              <w:rPr>
                <w:highlight w:val="yellow"/>
              </w:rPr>
              <w:t>76.2</w:t>
            </w:r>
          </w:p>
        </w:tc>
        <w:tc>
          <w:tcPr>
            <w:tcW w:type="dxa" w:w="2221"/>
          </w:tcPr>
          <w:p>
            <w:r>
              <w:t>23378.2</w:t>
            </w:r>
          </w:p>
        </w:tc>
      </w:tr>
    </w:tbl>
    <w:p>
      <w:r>
        <w:rPr>
          <w:b/>
          <w:i/>
        </w:rPr>
        <w:t>Table 4. Quality metrics data for sample 2525</w:t>
      </w:r>
      <w:r>
        <w:br w:type="page"/>
      </w:r>
    </w:p>
    <w:p>
      <w:pPr>
        <w:pStyle w:val="Heading1"/>
      </w:pPr>
      <w:r>
        <w:t>Sample 2526</w:t>
      </w:r>
    </w:p>
    <w:p>
      <w:pPr>
        <w:pStyle w:val="Heading2"/>
      </w:pPr>
      <w:r>
        <w:t>Lineage assignment</w:t>
      </w:r>
    </w:p>
    <w:p>
      <w:pPr>
        <w:pStyle w:val="ListBullet"/>
      </w:pPr>
      <w:r>
        <w:t>Your lab's clade assignment matches the reference lab's and the most frequently submitted by other participants.</w:t>
      </w:r>
    </w:p>
    <w:tbl>
      <w:tblPr>
        <w:tblStyle w:val="TableGrid"/>
        <w:tblW w:type="auto" w:w="0"/>
        <w:tblLook w:firstColumn="1" w:firstRow="1" w:lastColumn="0" w:lastRow="0" w:noHBand="0" w:noVBand="1" w:val="04A0"/>
      </w:tblPr>
      <w:tblGrid>
        <w:gridCol w:w="2776"/>
        <w:gridCol w:w="2776"/>
        <w:gridCol w:w="2776"/>
        <w:gridCol w:w="2776"/>
      </w:tblGrid>
      <w:tr>
        <w:tc>
          <w:tcPr>
            <w:tcW w:type="dxa" w:w="2776"/>
          </w:tcPr>
          <w:p>
            <w:r>
              <w:rPr>
                <w:b/>
              </w:rPr>
              <w:t>Participant</w:t>
            </w:r>
          </w:p>
        </w:tc>
        <w:tc>
          <w:tcPr>
            <w:tcW w:type="dxa" w:w="2776"/>
          </w:tcPr>
          <w:p>
            <w:r>
              <w:rPr>
                <w:b/>
              </w:rPr>
              <w:t>RSV Subtype</w:t>
            </w:r>
          </w:p>
        </w:tc>
        <w:tc>
          <w:tcPr>
            <w:tcW w:type="dxa" w:w="2776"/>
          </w:tcPr>
          <w:p>
            <w:r>
              <w:rPr>
                <w:b/>
              </w:rPr>
              <w:t>Clade</w:t>
            </w:r>
          </w:p>
        </w:tc>
        <w:tc>
          <w:tcPr>
            <w:tcW w:type="dxa" w:w="2776"/>
          </w:tcPr>
          <w:p>
            <w:r>
              <w:rPr>
                <w:b/>
              </w:rPr>
              <w:t>Legacy clade</w:t>
            </w:r>
          </w:p>
        </w:tc>
      </w:tr>
      <w:tr>
        <w:tc>
          <w:tcPr>
            <w:tcW w:type="dxa" w:w="2776"/>
          </w:tcPr>
          <w:p>
            <w:r>
              <w:rPr>
                <w:i/>
              </w:rPr>
              <w:t>Others (2)</w:t>
            </w:r>
          </w:p>
        </w:tc>
        <w:tc>
          <w:tcPr>
            <w:tcW w:type="dxa" w:w="2776"/>
          </w:tcPr>
          <w:p>
            <w:r>
              <w:t>RSV-B</w:t>
            </w:r>
          </w:p>
        </w:tc>
        <w:tc>
          <w:tcPr>
            <w:tcW w:type="dxa" w:w="2776"/>
          </w:tcPr>
          <w:p>
            <w:r>
              <w:t>B.D.E.1</w:t>
            </w:r>
          </w:p>
        </w:tc>
        <w:tc>
          <w:tcPr>
            <w:tcW w:type="dxa" w:w="2776"/>
          </w:tcPr>
          <w:p>
            <w:r>
              <w:t>GB5.0.5a</w:t>
            </w:r>
          </w:p>
        </w:tc>
      </w:tr>
      <w:tr>
        <w:tc>
          <w:tcPr>
            <w:tcW w:type="dxa" w:w="2776"/>
          </w:tcPr>
          <w:p>
            <w:r>
              <w:rPr>
                <w:i/>
              </w:rPr>
              <w:t>Reference</w:t>
            </w:r>
          </w:p>
        </w:tc>
        <w:tc>
          <w:tcPr>
            <w:tcW w:type="dxa" w:w="2776"/>
          </w:tcPr>
          <w:p>
            <w:r>
              <w:t>RSV-B</w:t>
            </w:r>
          </w:p>
        </w:tc>
        <w:tc>
          <w:tcPr>
            <w:tcW w:type="dxa" w:w="2776"/>
          </w:tcPr>
          <w:p>
            <w:r>
              <w:t>B.D.E.1</w:t>
            </w:r>
          </w:p>
        </w:tc>
        <w:tc>
          <w:tcPr>
            <w:tcW w:type="dxa" w:w="2776"/>
          </w:tcPr>
          <w:p>
            <w:r>
              <w:t>GB5.0.5a</w:t>
            </w:r>
          </w:p>
        </w:tc>
      </w:tr>
      <w:tr>
        <w:tc>
          <w:tcPr>
            <w:tcW w:type="dxa" w:w="2776"/>
          </w:tcPr>
          <w:p>
            <w:r>
              <w:rPr>
                <w:i/>
              </w:rPr>
              <w:t>WR099</w:t>
            </w:r>
          </w:p>
        </w:tc>
        <w:tc>
          <w:tcPr>
            <w:tcW w:type="dxa" w:w="2776"/>
          </w:tcPr>
          <w:p>
            <w:r>
              <w:t>RSV-B</w:t>
            </w:r>
          </w:p>
        </w:tc>
        <w:tc>
          <w:tcPr>
            <w:tcW w:type="dxa" w:w="2776"/>
          </w:tcPr>
          <w:p>
            <w:r>
              <w:t>B.D.E.1</w:t>
            </w:r>
          </w:p>
        </w:tc>
        <w:tc>
          <w:tcPr>
            <w:tcW w:type="dxa" w:w="2776"/>
          </w:tcPr>
          <w:p>
            <w:r>
              <w:t>GB5.0.5a</w:t>
            </w:r>
          </w:p>
        </w:tc>
      </w:tr>
    </w:tbl>
    <w:p>
      <w:r>
        <w:rPr>
          <w:b/>
          <w:i/>
        </w:rPr>
        <w:t>Table 5. Clade assignments for sample 2526, including RSV subtype.</w:t>
        <w:br/>
        <w:br/>
      </w:r>
    </w:p>
    <w:p>
      <w:pPr>
        <w:pStyle w:val="Heading2"/>
      </w:pPr>
      <w:r>
        <w:t>Sequencing quality</w:t>
      </w:r>
    </w:p>
    <w:p>
      <w:pPr>
        <w:pStyle w:val="ListBullet"/>
      </w:pPr>
      <w:r>
        <w:t>Obtained sufficient genome coverage (90% or higher).</w:t>
      </w:r>
    </w:p>
    <w:p>
      <w:pPr>
        <w:pStyle w:val="ListBullet"/>
      </w:pPr>
      <w:r>
        <w:t>Obtained sufficient Ns in Sequence (2% or lower).</w:t>
      </w:r>
    </w:p>
    <w:p>
      <w:pPr>
        <w:pStyle w:val="ListBullet"/>
      </w:pPr>
      <w:r>
        <w:t>Obtained sufficient Similarity (98% or higher).</w:t>
      </w:r>
    </w:p>
    <w:p>
      <w:pPr>
        <w:pStyle w:val="ListBullet"/>
      </w:pPr>
      <w:r>
        <w:t>Obtained sufficient Read Coverage (Mean depth of 50 or higher).</w:t>
      </w:r>
    </w:p>
    <w:p>
      <w:pPr>
        <w:jc w:val="center"/>
      </w:pPr>
      <w:r>
        <w:rPr>
          <w:b/>
          <w:i/>
        </w:rPr>
        <w:t>Figure 3. Quality metrics for sample 2526 for participants that submitted appropriate data files</w:t>
      </w:r>
    </w:p>
    <w:p>
      <w:pPr>
        <w:jc w:val="center"/>
      </w:pPr>
      <w:r>
        <w:drawing>
          <wp:inline xmlns:a="http://schemas.openxmlformats.org/drawingml/2006/main" xmlns:pic="http://schemas.openxmlformats.org/drawingml/2006/picture">
            <wp:extent cx="5486400" cy="2728241"/>
            <wp:docPr id="3" name="Picture 3"/>
            <wp:cNvGraphicFramePr>
              <a:graphicFrameLocks noChangeAspect="1"/>
            </wp:cNvGraphicFramePr>
            <a:graphic>
              <a:graphicData uri="http://schemas.openxmlformats.org/drawingml/2006/picture">
                <pic:pic>
                  <pic:nvPicPr>
                    <pic:cNvPr id="0" name="2526_metrics_plot.png"/>
                    <pic:cNvPicPr/>
                  </pic:nvPicPr>
                  <pic:blipFill>
                    <a:blip r:embed="rId12"/>
                    <a:stretch>
                      <a:fillRect/>
                    </a:stretch>
                  </pic:blipFill>
                  <pic:spPr>
                    <a:xfrm>
                      <a:off x="0" y="0"/>
                      <a:ext cx="5486400" cy="2728241"/>
                    </a:xfrm>
                    <a:prstGeom prst="rect"/>
                  </pic:spPr>
                </pic:pic>
              </a:graphicData>
            </a:graphic>
          </wp:inline>
        </w:drawing>
      </w:r>
    </w:p>
    <w:tbl>
      <w:tblPr>
        <w:tblStyle w:val="TableGrid"/>
        <w:tblW w:type="auto" w:w="0"/>
        <w:tblLook w:firstColumn="1" w:firstRow="1" w:lastColumn="0" w:lastRow="0" w:noHBand="0" w:noVBand="1" w:val="04A0"/>
      </w:tblPr>
      <w:tblGrid>
        <w:gridCol w:w="2221"/>
        <w:gridCol w:w="2221"/>
        <w:gridCol w:w="2221"/>
        <w:gridCol w:w="2221"/>
        <w:gridCol w:w="2221"/>
      </w:tblGrid>
      <w:tr>
        <w:tc>
          <w:tcPr>
            <w:tcW w:type="dxa" w:w="2221"/>
          </w:tcPr>
          <w:p>
            <w:r>
              <w:rPr>
                <w:b/>
              </w:rPr>
              <w:t>Participant</w:t>
            </w:r>
          </w:p>
        </w:tc>
        <w:tc>
          <w:tcPr>
            <w:tcW w:type="dxa" w:w="2221"/>
          </w:tcPr>
          <w:p>
            <w:r>
              <w:rPr>
                <w:b/>
              </w:rPr>
              <w:t>Genome Coverage (%)</w:t>
            </w:r>
          </w:p>
        </w:tc>
        <w:tc>
          <w:tcPr>
            <w:tcW w:type="dxa" w:w="2221"/>
          </w:tcPr>
          <w:p>
            <w:r>
              <w:rPr>
                <w:b/>
              </w:rPr>
              <w:t>Ns in Sequence (%)</w:t>
            </w:r>
          </w:p>
        </w:tc>
        <w:tc>
          <w:tcPr>
            <w:tcW w:type="dxa" w:w="2221"/>
          </w:tcPr>
          <w:p>
            <w:r>
              <w:rPr>
                <w:b/>
              </w:rPr>
              <w:t>Similarity (%)</w:t>
            </w:r>
          </w:p>
        </w:tc>
        <w:tc>
          <w:tcPr>
            <w:tcW w:type="dxa" w:w="2221"/>
          </w:tcPr>
          <w:p>
            <w:r>
              <w:rPr>
                <w:b/>
              </w:rPr>
              <w:t>Read Coverage (Mean)</w:t>
            </w:r>
          </w:p>
        </w:tc>
      </w:tr>
      <w:tr>
        <w:tc>
          <w:tcPr>
            <w:tcW w:type="dxa" w:w="2221"/>
          </w:tcPr>
          <w:p>
            <w:r>
              <w:rPr>
                <w:i/>
              </w:rPr>
              <w:t>Others (2)</w:t>
            </w:r>
          </w:p>
        </w:tc>
        <w:tc>
          <w:tcPr>
            <w:tcW w:type="dxa" w:w="2221"/>
          </w:tcPr>
          <w:p>
            <w:r>
              <w:rPr>
                <w:highlight w:val="yellow"/>
              </w:rPr>
              <w:t>81.0</w:t>
            </w:r>
          </w:p>
        </w:tc>
        <w:tc>
          <w:tcPr>
            <w:tcW w:type="dxa" w:w="2221"/>
          </w:tcPr>
          <w:p>
            <w:r>
              <w:rPr>
                <w:highlight w:val="yellow"/>
              </w:rPr>
              <w:t>16.6</w:t>
            </w:r>
          </w:p>
        </w:tc>
        <w:tc>
          <w:tcPr>
            <w:tcW w:type="dxa" w:w="2221"/>
          </w:tcPr>
          <w:p>
            <w:r>
              <w:rPr>
                <w:highlight w:val="yellow"/>
              </w:rPr>
              <w:t>80.2</w:t>
            </w:r>
          </w:p>
        </w:tc>
        <w:tc>
          <w:tcPr>
            <w:tcW w:type="dxa" w:w="2221"/>
          </w:tcPr>
          <w:p>
            <w:r>
              <w:t>595.5</w:t>
            </w:r>
          </w:p>
        </w:tc>
      </w:tr>
      <w:tr>
        <w:tc>
          <w:tcPr>
            <w:tcW w:type="dxa" w:w="2221"/>
          </w:tcPr>
          <w:p>
            <w:r>
              <w:rPr>
                <w:i/>
              </w:rPr>
              <w:t>Reference</w:t>
            </w:r>
          </w:p>
        </w:tc>
        <w:tc>
          <w:tcPr>
            <w:tcW w:type="dxa" w:w="2221"/>
          </w:tcPr>
          <w:p>
            <w:r>
              <w:t>99.8</w:t>
            </w:r>
          </w:p>
        </w:tc>
        <w:tc>
          <w:tcPr>
            <w:tcW w:type="dxa" w:w="2221"/>
          </w:tcPr>
          <w:p>
            <w:r>
              <w:t>0.0</w:t>
            </w:r>
          </w:p>
        </w:tc>
        <w:tc>
          <w:tcPr>
            <w:tcW w:type="dxa" w:w="2221"/>
          </w:tcPr>
          <w:p>
            <w:r>
              <w:t>98.9</w:t>
            </w:r>
          </w:p>
        </w:tc>
        <w:tc>
          <w:tcPr>
            <w:tcW w:type="dxa" w:w="2221"/>
          </w:tcPr>
          <w:p>
            <w:r>
              <w:t>11912.1</w:t>
            </w:r>
          </w:p>
        </w:tc>
      </w:tr>
      <w:tr>
        <w:tc>
          <w:tcPr>
            <w:tcW w:type="dxa" w:w="2221"/>
          </w:tcPr>
          <w:p>
            <w:r>
              <w:rPr>
                <w:i/>
              </w:rPr>
              <w:t>WR099</w:t>
            </w:r>
          </w:p>
        </w:tc>
        <w:tc>
          <w:tcPr>
            <w:tcW w:type="dxa" w:w="2221"/>
          </w:tcPr>
          <w:p>
            <w:r>
              <w:t>99.8</w:t>
            </w:r>
          </w:p>
        </w:tc>
        <w:tc>
          <w:tcPr>
            <w:tcW w:type="dxa" w:w="2221"/>
          </w:tcPr>
          <w:p>
            <w:r>
              <w:t>0.0</w:t>
            </w:r>
          </w:p>
        </w:tc>
        <w:tc>
          <w:tcPr>
            <w:tcW w:type="dxa" w:w="2221"/>
          </w:tcPr>
          <w:p>
            <w:r>
              <w:t>98.9</w:t>
            </w:r>
          </w:p>
        </w:tc>
        <w:tc>
          <w:tcPr>
            <w:tcW w:type="dxa" w:w="2221"/>
          </w:tcPr>
          <w:p>
            <w:r>
              <w:t>5903.4</w:t>
            </w:r>
          </w:p>
        </w:tc>
      </w:tr>
    </w:tbl>
    <w:p>
      <w:r>
        <w:rPr>
          <w:b/>
          <w:i/>
        </w:rPr>
        <w:t>Table 6. Quality metrics data for sample 2526</w:t>
      </w:r>
      <w:r>
        <w:br w:type="page"/>
      </w:r>
    </w:p>
    <w:p>
      <w:r>
        <w:rPr>
          <w:b/>
        </w:rPr>
        <w:t>Appendix 1: Additional Information</w:t>
        <w:br/>
        <w:br/>
      </w:r>
      <w:r>
        <w:rPr>
          <w:b/>
          <w:i/>
        </w:rPr>
        <w:t>Samples provided and testing required</w:t>
        <w:br/>
      </w:r>
      <w:r>
        <w:t>Original samples distributed by UK NEQAS Microbiology were freeze dried.</w:t>
        <w:br/>
        <w:t xml:space="preserve"> ➢  Sequencing-only laboratories received samples directly and were instructed to reconstitute with 0.5mL of</w:t>
        <w:br/>
        <w:t>molecular grade water prior to testing.</w:t>
        <w:br/>
        <w:t xml:space="preserve"> ➢  Samples processed by a primary testing laboratory were forwarded on as RNA / lysate and handled and</w:t>
        <w:br/>
        <w:t>stored according to local procedures / policies.</w:t>
        <w:br/>
        <w:t>Sequencing was carried out according to the laboratory's normal procedure.</w:t>
        <w:br/>
        <w:br/>
      </w:r>
      <w:r>
        <w:rPr>
          <w:b/>
          <w:i/>
        </w:rPr>
        <w:t>Data submission and analysis</w:t>
        <w:br/>
      </w:r>
      <w:r>
        <w:t>Data collection, quality control (QC), storage and analysis to  WHO defined standards and requirements was  carried out by University of Cranfield in collaborations with UK NEQAS for Microbiology and Micropathology ltd.</w:t>
        <w:br/>
        <w:t>Participants were required to submit a FASTA file as a minimum requirement. It is also possible to submit FASTQ and BED files which are used to assess quality metrics.</w:t>
        <w:br/>
        <w:br/>
      </w:r>
      <w:r>
        <w:rPr>
          <w:b/>
          <w:i/>
        </w:rPr>
        <w:t>Validated results</w:t>
        <w:br/>
      </w:r>
      <w:r>
        <w:t>The EQA cases were validated by a national RSV sequencing reference laboratory using Illumina sequencing with 99.9% of the genome covered at 20x. The quality of the reference laboratory sequences was classed as very high. Participants have only been assessed against regions successfully covered by the reference laboratory. Stated lineages were established using Nextclade and Nextstrain identifiers are reported. Participant submissions were compared against the reference sequences suggested by GISAID: EPI_ISL_412866 (RSV A) and EPI_ISL_1653999 (RSV B) for all regions successfully sequenced by the reference laboratory.</w:t>
        <w:br/>
        <w:br/>
      </w:r>
      <w:r>
        <w:rPr>
          <w:b/>
          <w:i/>
        </w:rPr>
        <w:t>Quality Metrics</w:t>
        <w:br/>
      </w:r>
      <w:r>
        <w:t>Where appropriate data files have been provided by the participant, the following quality metrics will be stated on the ‘gaps’ worksheet for each sample:</w:t>
        <w:br/>
        <w:t>➢  Genome Coverage (%) - The percentage of reference bases covered, with a threshold typically set at ≥90%. Computed using Nextclade.</w:t>
        <w:br/>
        <w:t>➢  Ns in Sequence (%) - The percentage of ambiguous bases (N's) in the sequence, with a threshold typically set at ≤2%. Computed using Nextclade.</w:t>
        <w:br/>
        <w:t>➢  Similarity (%) - The percentage of sequence similarity compared to the reference, with a threshold typically set at ≥98%. Computed using Nextclade.</w:t>
        <w:br/>
        <w:t>➢  Read Coverage (Mean Depth) - The average depth of sequencing reads, with a threshold typically set at ≥50. Computed using Qualimap2.</w:t>
        <w:br/>
        <w:br/>
      </w:r>
      <w:r>
        <w:rPr>
          <w:b/>
          <w:i/>
        </w:rPr>
        <w:t>Participation and scoring submissions</w:t>
        <w:br/>
      </w:r>
      <w:r>
        <w:t>xxxxxxxxxxxxxxxxxx</w:t>
        <w:br/>
        <w:br/>
      </w:r>
      <w:r>
        <w:rPr>
          <w:b/>
          <w:i/>
        </w:rPr>
        <w:t>Scheme compliance</w:t>
        <w:br/>
      </w:r>
      <w:r>
        <w:t>All participating laboratories complied with Scheme instructions.</w:t>
        <w:br/>
        <w:br/>
      </w:r>
    </w:p>
    <w:p>
      <w:pPr>
        <w:jc w:val="center"/>
      </w:pPr>
      <w:r>
        <w:rPr>
          <w:b/>
          <w:i/>
        </w:rPr>
        <w:br/>
        <w:br/>
        <w:br/>
        <w:br/>
        <w:br/>
        <w:br/>
        <w:br/>
        <w:br/>
        <w:br/>
        <w:br/>
        <w:t>Automatically generated by xxx. All rights reserved © UKNEQAS for Microbiology; 2025</w:t>
      </w:r>
    </w:p>
    <w:sectPr w:rsidR="00FC693F" w:rsidRPr="0006063C" w:rsidSect="00034616">
      <w:headerReference w:type="default" r:id="rId9"/>
      <w:footerReference w:type="default" r:id="rId13"/>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RSV Sequencing Distributions ... Pilot EQA Summary Report</w:t>
      <w:tab/>
      <w:tab/>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2286000" cy="1234440"/>
          <wp:docPr id="1" name="Picture 1"/>
          <wp:cNvGraphicFramePr>
            <a:graphicFrameLocks noChangeAspect="1"/>
          </wp:cNvGraphicFramePr>
          <a:graphic>
            <a:graphicData uri="http://schemas.openxmlformats.org/drawingml/2006/picture">
              <pic:pic>
                <pic:nvPicPr>
                  <pic:cNvPr id="0" name="uk-neqas-logo.jpg"/>
                  <pic:cNvPicPr/>
                </pic:nvPicPr>
                <pic:blipFill>
                  <a:blip r:embed="rId1"/>
                  <a:stretch>
                    <a:fillRect/>
                  </a:stretch>
                </pic:blipFill>
                <pic:spPr>
                  <a:xfrm>
                    <a:off x="0" y="0"/>
                    <a:ext cx="2286000" cy="123444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