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FEF0" w14:textId="77777777" w:rsidR="00F51A97" w:rsidRDefault="00000000">
      <w:pPr>
        <w:pStyle w:val="Heading1"/>
      </w:pPr>
      <w:r>
        <w:t>Rating Agency View: Fund Finance vs Structured Finance (S&amp;P vs Moody’s)</w:t>
      </w:r>
    </w:p>
    <w:p w14:paraId="48212171" w14:textId="77777777" w:rsidR="00F51A97" w:rsidRDefault="00000000">
      <w:pPr>
        <w:pStyle w:val="Heading2"/>
      </w:pPr>
      <w:r>
        <w:t>1. Overview</w:t>
      </w:r>
    </w:p>
    <w:p w14:paraId="3A0CC73D" w14:textId="77777777" w:rsidR="00F51A97" w:rsidRDefault="00000000">
      <w:r>
        <w:t>This document compares how S&amp;P Global Ratings and Moody’s Investors Service approach ratings in Fund Finance and Structured Finance. While both agencies use similar credit principles, their emphasis, terminology, and modelling frameworks differ.</w:t>
      </w:r>
    </w:p>
    <w:p w14:paraId="17444B2D" w14:textId="77777777" w:rsidR="00F51A97" w:rsidRDefault="00000000">
      <w:pPr>
        <w:pStyle w:val="Heading2"/>
      </w:pPr>
      <w:r>
        <w:t>2. Fund Finance – Rating Approach</w:t>
      </w:r>
    </w:p>
    <w:p w14:paraId="3204B2EC" w14:textId="77777777" w:rsidR="00F51A97" w:rsidRDefault="00000000">
      <w:pPr>
        <w:pStyle w:val="Heading3"/>
      </w:pPr>
      <w:r>
        <w:t>S&amp;P Global Ratings</w:t>
      </w:r>
    </w:p>
    <w:p w14:paraId="7950DCB3" w14:textId="77777777" w:rsidR="00F51A97" w:rsidRDefault="00000000">
      <w:r>
        <w:t>- Primary focus on investor credit quality and diversification</w:t>
      </w:r>
      <w:r>
        <w:br/>
        <w:t>- Explicit mapping of LPs to public or shadow ratings</w:t>
      </w:r>
      <w:r>
        <w:br/>
        <w:t>- Strong emphasis on legal enforceability of capital commitments</w:t>
      </w:r>
      <w:r>
        <w:br/>
        <w:t>- Stress scenarios focus on LP default and delayed capital calls</w:t>
      </w:r>
      <w:r>
        <w:br/>
        <w:t>- Output often a short-term or issue credit rating</w:t>
      </w:r>
    </w:p>
    <w:p w14:paraId="2E2FBE7B" w14:textId="77777777" w:rsidR="00F51A97" w:rsidRDefault="00000000">
      <w:pPr>
        <w:pStyle w:val="Heading3"/>
      </w:pPr>
      <w:r>
        <w:t>Moody’s Investors Service</w:t>
      </w:r>
    </w:p>
    <w:p w14:paraId="78AB4D78" w14:textId="77777777" w:rsidR="00F51A97" w:rsidRDefault="00000000">
      <w:r>
        <w:t>- Emphasis on Probability of Default (PD) and Loss Given Default (LGD)</w:t>
      </w:r>
      <w:r>
        <w:br/>
        <w:t>- Uses Moody’s weighted average rating factor (WARF-style concepts)</w:t>
      </w:r>
      <w:r>
        <w:br/>
        <w:t>- Strong qualitative overlay on GP quality and fund strategy</w:t>
      </w:r>
      <w:r>
        <w:br/>
        <w:t>- Focus on liquidity sufficiency under stress rather than loss modelling</w:t>
      </w:r>
    </w:p>
    <w:p w14:paraId="5EC7FE29" w14:textId="77777777" w:rsidR="00F51A97" w:rsidRDefault="00000000">
      <w:pPr>
        <w:pStyle w:val="Heading2"/>
      </w:pPr>
      <w:r>
        <w:t>3. Structured Finance – Rating Approach</w:t>
      </w:r>
    </w:p>
    <w:p w14:paraId="396E579E" w14:textId="77777777" w:rsidR="00F51A97" w:rsidRDefault="00000000">
      <w:pPr>
        <w:pStyle w:val="Heading3"/>
      </w:pPr>
      <w:r>
        <w:t>S&amp;P Global Ratings</w:t>
      </w:r>
    </w:p>
    <w:p w14:paraId="59241161" w14:textId="77777777" w:rsidR="00F51A97" w:rsidRDefault="00000000">
      <w:r>
        <w:t>- Deterministic stress scenarios calibrated to target rating levels</w:t>
      </w:r>
      <w:r>
        <w:br/>
        <w:t>- Cash flow models test full and timely payment of interest and principal</w:t>
      </w:r>
      <w:r>
        <w:br/>
        <w:t>- Heavy focus on tranche-by-tranche break-even analysis</w:t>
      </w:r>
      <w:r>
        <w:br/>
        <w:t>- Structural features (OC, IC tests) are central to rating uplift</w:t>
      </w:r>
    </w:p>
    <w:p w14:paraId="57BB8CEE" w14:textId="77777777" w:rsidR="00F51A97" w:rsidRDefault="00000000">
      <w:pPr>
        <w:pStyle w:val="Heading3"/>
      </w:pPr>
      <w:r>
        <w:t>Moody’s Investors Service</w:t>
      </w:r>
    </w:p>
    <w:p w14:paraId="511A665E" w14:textId="77777777" w:rsidR="00F51A97" w:rsidRDefault="00000000">
      <w:r>
        <w:t>- Expected Loss framework: EL = PD × LGD</w:t>
      </w:r>
      <w:r>
        <w:br/>
        <w:t>- Monte Carlo-style default timing and severity assumptions</w:t>
      </w:r>
      <w:r>
        <w:br/>
        <w:t>- Ratings reflect expected performance under stress, not just survival</w:t>
      </w:r>
      <w:r>
        <w:br/>
        <w:t>- Strong linkage between asset quality metrics and tranche ratings</w:t>
      </w:r>
    </w:p>
    <w:p w14:paraId="7CD6112A" w14:textId="77777777" w:rsidR="00F51A97" w:rsidRDefault="00000000">
      <w:pPr>
        <w:pStyle w:val="Heading2"/>
      </w:pPr>
      <w:r>
        <w:t>4. Key Differences Summary</w:t>
      </w:r>
    </w:p>
    <w:p w14:paraId="3B5D837A" w14:textId="77777777" w:rsidR="00F51A97" w:rsidRDefault="00000000">
      <w:r>
        <w:t>S&amp;P tends to emphasize deterministic survival under extreme stress scenarios, while Moody’s focuses more explicitly on expected loss and probability-weighted outcomes. In fund finance, both agencies primarily rate investor risk rather than portfolio assets. In structured finance, ratings are tranche-specific and highly model-driven.</w:t>
      </w:r>
    </w:p>
    <w:sectPr w:rsidR="00F51A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169627">
    <w:abstractNumId w:val="8"/>
  </w:num>
  <w:num w:numId="2" w16cid:durableId="1606228470">
    <w:abstractNumId w:val="6"/>
  </w:num>
  <w:num w:numId="3" w16cid:durableId="1386949044">
    <w:abstractNumId w:val="5"/>
  </w:num>
  <w:num w:numId="4" w16cid:durableId="1789162923">
    <w:abstractNumId w:val="4"/>
  </w:num>
  <w:num w:numId="5" w16cid:durableId="1595747244">
    <w:abstractNumId w:val="7"/>
  </w:num>
  <w:num w:numId="6" w16cid:durableId="1670055819">
    <w:abstractNumId w:val="3"/>
  </w:num>
  <w:num w:numId="7" w16cid:durableId="155649974">
    <w:abstractNumId w:val="2"/>
  </w:num>
  <w:num w:numId="8" w16cid:durableId="88818931">
    <w:abstractNumId w:val="1"/>
  </w:num>
  <w:num w:numId="9" w16cid:durableId="88795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068"/>
    <w:rsid w:val="006E048D"/>
    <w:rsid w:val="00AA1D8D"/>
    <w:rsid w:val="00B47730"/>
    <w:rsid w:val="00CB0664"/>
    <w:rsid w:val="00F51A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6CC5A"/>
  <w14:defaultImageDpi w14:val="300"/>
  <w15:docId w15:val="{93755B7D-7DD5-BF4A-9D2D-07226995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1646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Donya Khoshsepehr</cp:lastModifiedBy>
  <cp:revision>2</cp:revision>
  <dcterms:created xsi:type="dcterms:W3CDTF">2013-12-23T23:15:00Z</dcterms:created>
  <dcterms:modified xsi:type="dcterms:W3CDTF">2026-01-15T07:50:00Z</dcterms:modified>
  <cp:category/>
</cp:coreProperties>
</file>