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Novel Methodology: GRACE — Graph-Reasoning Augmented Clinical rEport 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Critical Analysis of M3T Limitations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Before proposing the novel framework, let me identify M3T's key shortcomings that will motivate each novel contribution: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M3T Component | Limitation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Word2Vec + dot-product keyword attention | Context-free, flat keyword representation; ignores inter-disease relationships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Single EfficientNetV2B0 block | Only final-layer features; loses multi-scale pathological detail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Unidirectional TransFusion (image→keywords) | Keywords cannot update visual attention; breaks semantic alignment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Cross-entropy loss alone | Penalises token mismatches equally; clinically critical terms not weighted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BLEU/CIDEr/ROUGE only | Cannot measure clinical correctness, hallucination, or concept coverage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No uncertainty quantification | Overconfident outputs; unsafe in clinical deployment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No structured disease reasoning | Cannot capture comorbidity, severity hierarchy, or causal pathways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2. Proposed Framework: GRACE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**G**raph-**R**easoning **A**ugmented **C**linical r**E**port Generation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GRACE extends M3T with five tightly coupled novel modules: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GRACE Architecture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Retinal Images ──► Multi-Scale Visual Encoder (MSVE)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  ▼       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             Pathology-Aware Feature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              Pyramid (PAFP)  ──────────────────┐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                                                 │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Keywords + ──► Retinal Disease KG ──► Graph           │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Ontology        (RD-KG Encoder)      Embeddings       │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                       │                         │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                       ▼                         ▼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Bidirectional Cross-Modal            │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        Attention Module (BCMA) ◄────────────┘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                   ▼      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Uncertainty-Aware Clinical Decoder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             (UACD) with MC Dropout  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                │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         ┌─────────┴─────────┐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          Prediction         Uncertainty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        Distribution        Map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3. Module Descriptions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3.1 Multi-Scale Visual Encoder with Pathology-Aware Feature Pyramid (MSVE-PAFP)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**Motivation:** M3T uses only the final convolutional block of EfficientNetV2B0, discarding multi-scale spatial detail critical for detecting fine retinal lesions at varying scales (microaneurysms are tiny; drusen deposits are large).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**Design:** Extract features from multiple intermediate blocks $\{B_2, B_3, B_4, B_5\}$ of EfficientNetV2B0, yielding feature maps $\{F^{(2)}, F^{(3)}, F^{(4)}, F^{(5)}\}$. Fuse via a top-down Feature Pyramid Network (FPN) augmented with a learned pathology saliency gate: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$$\hat{F}^{(l)} = \text{Conv}_{1\times1}\left(F^{(l)} + \text{Up}\left(\hat{F}^{(l+1)}\right)\right), \quad l \in \{2,3,4\}$$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$$F_{\text{pyramid}} = \text{Concat}\left(\hat{F}^{(2)}, \hat{F}^{(3)}, \hat{F}^{(4)}, F^{(5)}\right)$$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Apply the Lesion Contextual Gate (inherited from M3T, now generalised) independently at each pyramid level and aggregate with learnable scale weights $\{\alpha_l\}$: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$$F_{\text{multi}} = \sum_{l=2}^{5} \alpha_l \cdot \text{LCG}\left(\hat{F}^{(l)}\right), \quad \sum_l \alpha_l = 1$$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yields a single enriched feature tensor $F_{\text{multi}} \in \mathbb{R}^{H \times W \times C}$ capturing both coarse semantic context and fine lesion detail simultaneously.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3.2 Retinal Disease Knowledge Graph Encoder (RD-KGE)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**Motivation:** M3T treats diagnostic keywords as a flat sequence with no structural relationship. Clinically, diseases have ontological hierarchies (e.g., *Age-related Macular Degeneration* → *Dry AMD* → *Geographic Atrophy*), comorbidity links (e.g., *Diabetic Retinopathy* co-occurs with *Diabetic Macular Edema*), and severity relations. A flat dot-product attention cannot capture these.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**Construction:** Build $\mathcal{G} = (\mathcal{V}, \mathcal{E})$ where: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Nodes $\mathcal{V}$: all disease/symptom/modality entities from DeepEyeNet's 265 categories + SNOMED-CT/UMLS retinal subset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Edge types $\mathcal{E}$: `is-a`, `co-occurs-with`, `manifests-as`, `treated-by`, `imaged-by`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**Encoding with Relational Graph Convolutional Network (R-GCN):**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$$h_v^{(k+1)} = \sigma\left(W_0^{(k)} h_v^{(k)} + \sum_{r \in \mathcal{R}} \sum_{u \in \mathcal{N}_r(v)} \frac{1}{|\mathcal{N}_r(v)|} W_r^{(k)} h_u^{(k)}\right)$$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where $\mathcal{N}_r(v)$ is the neighbourhood of node $v$ under relation type $r$, and $W_r^{(k)}$ are relation-specific weight matrices.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**Keyword Grounding:** For the input keyword sequence $\{kw_1, ..., kw_n\}$, retrieve corresponding graph node embeddings $\{h_{kw_1}, ..., h_{kw_n}\}$ from the trained R-GCN. These replace M3T's Word2Vec embeddings, providing structurally-grounded clinical representations: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$$G_{\text{KE}} = \text{R-GCN}\left(\mathcal{G}\right)\bigg|_{\{kw_i\}} \in \mathbb{R}^{n \times d_g}$$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Then apply context-aware dot-product attention (as in M3T) on top of $G_{\text{KE}}$ to produce $G_{\text{att}}$.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3.3 Bidirectional Cross-Modal Attention Module (BCMA)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**Motivation:** M3T's TransFusion Encoder is fundamentally unidirectional — visual features serve as the query $Q$, while keywords provide $K, V$. This means visual attention is shaped by keywords, but keyword representations are *not updated* by visual content. This breaks semantic alignment: the same keyword "macular oedema" should activate different attention patterns depending on whether the image is OCT or fundus photography.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**Design:** BCMA computes attention in both directions and fuses them with a learned gating mechanism.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**Visual-to-Graph Attention (V→G):** Inherited from M3T's TransFusion — image queries attend over graph-enriched keyword keys/values: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$$Z_{V\to G} = \text{MultiHead}\left(Q=W_q F_{\text{multi}},\; K=W_k G_{\text{att}},\; V=W_v G_{\text{att}}\right)$$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**Graph-to-Visual Attention (G→V):** Novel reverse path — keyword nodes attend over spatial visual features, allowing disease concepts to localise themselves on the image: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$$Z_{G\to V} = \text{MultiHead}\left(Q=W_q' G_{\text{att}},\; K=W_k' F_{\text{multi}},\; V=W_v' F_{\text{multi}}\right)$$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**Bidirectional Gating Fusion:**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$$\lambda = \sigma\left(W_g \left[Z_{V\to G};\; Z_{G\to V}\right]\right)$$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$$F_{\text{BCMA}} = \lambda \odot Z_{V\to G} + (1-\lambda) \odot Z_{G\to V}$$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$$F' = \text{LayerNorm}\left(F_{\text{BCMA}} + F_{\text{multi}}\right)$$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gate $\lambda$ learns to dynamically balance visual-to-semantic and semantic-to-visual information flow conditioned on the input, addressing a fundamental limitation of the unidirectional M3T fusion.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3.4 Uncertainty-Aware Clinical Decoder (UACD)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**Motivation:** M3T generates descriptions with no indication of confidence. In clinical settings, a model that incorrectly but confidently names a disease is more dangerous than one that flags uncertainty. MC Dropout at inference time provides calibrated uncertainty without additional parameters.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**Design:** The decoder is identical in structure to M3T's Transformer Decoder but with dropout applied at *both training and inference*. For each test sample, run $T$ stochastic forward passes: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$$\{P^{(1)}, P^{(2)}, ..., P^{(T)}\} = \{\text{Decoder}^{(\text{dropout})}\left(F', CE\right)\}_{t=1}^{T}$$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**Token-level uncertainty** via entropy of the predictive distribution: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$$\mathcal{U}_{\text{token}}(w_i) = -\sum_{w \in \mathcal{V}} \bar{p}(w_i = w) \log \bar{p}(w_i = w)$$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$$\text{where} \quad \bar{p}(w_i) = \frac{1}{T}\sum_{t=1}^{T} P^{(t)}(w_i)$$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**Sentence-level uncertainty:**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$$\mathcal{U}_{\text{sentence}} = \frac{1}{|\hat{C}|}\sum_{i=1}^{|\hat{C}|} \mathcal{U}_{\text{token}}(w_i)$$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High-uncertainty tokens are flagged in the output (e.g., with a visual confidence indicator), enabling clinicians to focus review effort on uncertain regions of the generated text.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3.5 Clinical Semantic Consistency Loss (CSCL)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**Motivation:** Standard cross-entropy loss treats all vocabulary tokens equally. Missing clinically critical terms (e.g., *haemorrhage*, *neovascularisation*) should be penalised far more severely than missing filler words.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**Design:** A weighted composite loss combining three terms: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$$\mathcal{L}_{\text{GRACE}} = \alpha \mathcal{L}_{\text{CE}} + \beta \mathcal{L}_{\text{clinical}} + \gamma \mathcal{L}_{\text{KG}}$$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**Term 1 — Weighted Cross-Entropy:**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$$\mathcal{L}_{\text{CE}} = -\sum_{i=1}^{M} \omega_i \cdot c_i \cdot \log(p_i)$$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where the clinical importance weight $\omega_i$ is defined as: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$$\omega_i = 1 + \delta \cdot \mathbb{1}[w_i \in \mathcal{V}_{\text{clinical}}]$$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with $\mathcal{V}_{\text{clinical}}$ being the set of disease/symptom terms from the knowledge graph and $\delta$ a tunable penalty scalar.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**Term 2 — Clinical Semantic Consistency Loss:** Penalises divergence between the semantic embedding of the generated description $\hat{C}$ and ground truth $C$ using a frozen domain-specific encoder (e.g., BioBERT):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$$\mathcal{L}_{\text{clinical}} = 1 - \frac{\phi(\hat{C}) \cdot \phi(C)}{\|\phi(\hat{C})\| \|\phi(C)\|}$$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where $\phi(\cdot)$ is the [CLS] embedding from BioBERT fine-tuned on clinical notes (MIMIC-III).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**Term 3 — Knowledge Graph Grounding Loss:** Ensures generated descriptions mention concepts consistent with the input keyword's graph neighbourhood $\mathcal{N}(kw)$: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$$\mathcal{L}_{\text{KG}} = -\sum_{kw_i} \sum_{v \in \mathcal{N}(kw_i)} \mathbb{1}[v \in \hat{C}] \cdot \log \sigma\left(h_v \cdot \phi(\hat{C})\right)$$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explicitly encourages the decoder to generate concepts structurally related to the input keywords in the disease ontology.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4. Novel Evaluation Metrics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standard metrics used by M3T (BLEU, CIDEr, ROUGE) measure n-gram overlap but are blind to clinical correctness. Three novel metrics are proposed: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4.1 Clinical Concept Coverage Score (C³S)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Measures the fraction of ground-truth clinical concepts (disease terms, anatomical regions, severity descriptors) that appear in the generated description: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$$\text{C}^3\text{S} = \frac{1}{N}\sum_{j=1}^{N} \frac{|\mathcal{C}(\hat{D}_j) \cap \mathcal{C}(D_j^*)|}{|\mathcal{C}(D_j^*)|}$$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where $\mathcal{C}(\cdot)$ extracts clinical entity spans using a medical NER model (e.g., scispaCy with the `en_core_sci_lg` model), $D_j^*$ is the ground truth description, and $\hat{D}_j$ is the generated one. C³S directly quantifies recall of clinically meaningful content, independent of surface-form n-gram overlap.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4.2 Clinical Hallucination Rate (CHR)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Quantifies the proportion of generated clinical claims that are *not grounded* either in the input image features or in the graph neighbourhood of the input keywords: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$$\text{CHR} = \frac{1}{N}\sum_{j=1}^{N} \frac{|\mathcal{C}(\hat{D}_j) \setminus \left(\mathcal{C}(D_j^*) \cup \mathcal{N}_{\mathcal{G}}(KW_j)\right)|}{|\mathcal{C}(\hat{D}_j)|}$$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where $\mathcal{N}_{\mathcal{G}}(KW_j)$ is the set of graph-adjacent concepts to the input keywords. Lower CHR is better. This metric is especially critical given that hallucinated disease names in clinical reports could lead to misdiagnosis.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4.3 Uncertainty Calibration Score (UCS)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Assesses whether the model's token-level confidence $1 - \mathcal{U}_{\text{token}}(w_i)$ is calibrated against its actual accuracy. Using Expected Calibration Error (ECE) adapted for token prediction: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$$\text{UCS} = 1 - \text{ECE} = 1 - \sum_{b=1}^{B} \frac{|S_b|}{N_{\text{total}}} \left|\text{acc}(S_b) - \text{conf}(S_b)\right|$$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where tokens are binned by confidence into $B$ buckets, and $\text{acc}(S_b)$, $\text{conf}(S_b)$ are the accuracy and mean confidence in each bin. Higher UCS = better calibration = safer clinical deployment.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5. Summary Comparison Table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Aspect | M3T | GRACE (Proposed)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Visual features | Single-scale final block | Multi-scale FPN with per-level LCG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Keyword representation | Word2Vec + dot-product attention | R-GCN over disease ontology graph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Cross-modal fusion | Unidirectional (V→KW) | Bidirectional gating (V↔KW)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Loss function | Cross-entropy only | Weighted CE + BioBERT semantic + KG grounding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Uncertainty | None | MC Dropout with token-level entropy maps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Evaluation | BLEU, CIDEr, ROUGE | + C³S, CHR, UCS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Clinical grounding | Implicit via keywords | Explicit via SNOMED-CT / UMLS ontology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Interpretability | Attention heatmap | Heatmap + uncertainty map + concept graph path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6. Expected Contributions and Significance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five innovations in GRACE collectively address M3T's core gap: while M3T learns *what to say* (with multi-modal inputs), it has no mechanism for *why it is clinically valid* or *how confident it is*. GRACE fills this gap via structured disease reasoning (RD-KGE), symmetric modal alignment (BCMA), and principled uncertainty quantification (UACD), while the novel metrics (C³S, CHR, UCS) shift evaluation from linguistic quality toward clinical trustworthiness — a critical prerequisite for real-world clinical NLP deployment.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This framework also naturally extends to chest X-ray report generation (relevant to your GraphRAG-Rad and CGR work), since PrimeKG can serve as a drop-in replacement for the retinal disease ontology in the RD-KGE module, and the BCMA and UACD modules are modality-agnostic.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