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D93" w:rsidRPr="009143F0" w:rsidRDefault="00591397" w:rsidP="009143F0">
      <w:pPr>
        <w:spacing w:after="100" w:line="276" w:lineRule="auto"/>
        <w:jc w:val="center"/>
        <w:rPr>
          <w:sz w:val="40"/>
          <w:szCs w:val="24"/>
        </w:rPr>
      </w:pPr>
      <w:r>
        <w:rPr>
          <w:b/>
          <w:sz w:val="44"/>
        </w:rPr>
        <w:t>CAHIER DES CHARGES FONCTIONNEL ET TECHNIQUE</w:t>
      </w:r>
    </w:p>
    <w:p w:rsidR="00833D93" w:rsidRPr="009143F0" w:rsidRDefault="00591397" w:rsidP="009143F0">
      <w:pPr>
        <w:spacing w:after="240" w:line="276" w:lineRule="auto"/>
        <w:jc w:val="center"/>
        <w:rPr>
          <w:sz w:val="24"/>
          <w:szCs w:val="24"/>
        </w:rPr>
      </w:pPr>
      <w:r>
        <w:rPr>
          <w:b/>
          <w:sz w:val="28"/>
        </w:rPr>
        <w:t>Projet de Centre Hybride d’Apprentissage des Langues — IA + Encadrement Humain</w:t>
      </w:r>
    </w:p>
    <w:p>
      <w:pPr>
        <w:spacing w:after="20"/>
      </w:pPr>
      <w:r>
        <w:rPr>
          <w:b/>
        </w:rPr>
        <w:t xml:space="preserve">Porteur du projet : </w:t>
      </w:r>
      <w:r>
        <w:t>La Digithèque</w:t>
      </w:r>
    </w:p>
    <w:p>
      <w:pPr>
        <w:spacing w:after="20"/>
      </w:pPr>
      <w:r>
        <w:rPr>
          <w:b/>
        </w:rPr>
        <w:t xml:space="preserve">Localisation : </w:t>
      </w:r>
      <w:r>
        <w:t>Andrainjato, Fianarantsoa</w:t>
      </w:r>
    </w:p>
    <w:p>
      <w:pPr>
        <w:spacing w:after="20"/>
      </w:pPr>
      <w:r>
        <w:rPr>
          <w:b/>
        </w:rPr>
        <w:t xml:space="preserve">Modèle : </w:t>
      </w:r>
      <w:r>
        <w:t>Centre hybride : apprentissage assisté par IA + accompagnement humain</w:t>
      </w:r>
    </w:p>
    <w:p>
      <w:pPr>
        <w:spacing w:after="20"/>
      </w:pPr>
      <w:r>
        <w:rPr>
          <w:b/>
        </w:rPr>
        <w:t xml:space="preserve">Langues ciblées : </w:t>
      </w:r>
      <w:r>
        <w:t>Français, anglais, mandarin, italien et allemand</w:t>
      </w:r>
    </w:p>
    <w:p>
      <w:pPr>
        <w:spacing w:after="20"/>
      </w:pPr>
      <w:r>
        <w:rPr>
          <w:b/>
        </w:rPr>
        <w:t xml:space="preserve">Équipe de développement actuelle : </w:t>
      </w:r>
      <w:r>
        <w:t>6 personnes</w:t>
      </w:r>
    </w:p>
    <w:p>
      <w:pPr>
        <w:spacing w:after="20"/>
      </w:pPr>
      <w:r>
        <w:rPr>
          <w:b/>
        </w:rPr>
        <w:t xml:space="preserve">Technologies principales : </w:t>
      </w:r>
      <w:r>
        <w:t>Front-end : Next.js | Back-end : FastAPI</w:t>
      </w:r>
    </w:p>
    <w:p w:rsidR="00833D93" w:rsidRPr="009143F0" w:rsidRDefault="00591397" w:rsidP="009143F0">
      <w:pPr>
        <w:spacing w:after="200" w:line="276" w:lineRule="auto"/>
        <w:rPr>
          <w:sz w:val="24"/>
          <w:szCs w:val="24"/>
        </w:rPr>
      </w:pPr>
      <w:r>
        <w:rPr>
          <w:rFonts w:eastAsia="Calibri"/>
          <w:i/>
          <w:iCs/>
          <w:sz w:val="24"/>
          <w:szCs w:val="24"/>
        </w:rPr>
        <w:t xml:space="preserve">Ce document présente le projet, porté par La Digithèque, de mise en place d'un centre hybride d'apprentissage des langues, combinant intelligence artificielle et encadrement humain, destiné à la ville de Fianarantsoa.</w:t>
      </w:r>
    </w:p>
    <w:p w:rsidR="00833D93" w:rsidRPr="009143F0" w:rsidRDefault="00591397" w:rsidP="009143F0">
      <w:pPr>
        <w:pStyle w:val="Titre1"/>
        <w:spacing w:before="320" w:after="160" w:line="276" w:lineRule="auto"/>
        <w:rPr>
          <w:sz w:val="28"/>
          <w:szCs w:val="24"/>
        </w:rPr>
      </w:pPr>
      <w:r>
        <w:rPr>
          <w:rFonts w:eastAsia="Calibri"/>
          <w:b/>
          <w:bCs/>
          <w:color w:val="1F4E79"/>
          <w:sz w:val="28"/>
          <w:szCs w:val="24"/>
        </w:rPr>
        <w:t>1. Contexte et présentation du projet</w:t>
      </w:r>
    </w:p>
    <w:p w:rsidR="00833D93" w:rsidRPr="009143F0" w:rsidRDefault="00591397" w:rsidP="009143F0">
      <w:pPr>
        <w:spacing w:after="200" w:line="276" w:lineRule="auto"/>
        <w:rPr>
          <w:sz w:val="24"/>
          <w:szCs w:val="24"/>
        </w:rPr>
      </w:pPr>
      <w:r>
        <w:rPr>
          <w:rFonts w:eastAsia="Calibri"/>
          <w:sz w:val="24"/>
          <w:szCs w:val="24"/>
        </w:rPr>
        <w:t xml:space="preserve">Fianarantsoa, chef-lieu de la région Haute Matsiatra, est un pôle universitaire et culturel majeur des Hautes Terres malgaches. La ville accueille plusieurs établissements d'enseignement supérieur, un tissu associatif dynamique et une population jeune en forte demande de compétences linguistiques valorisables sur le marché de l'emploi local, national et international (mobilité académique, migration économique, secteur du tourisme et des services).</w:t>
      </w:r>
    </w:p>
    <w:p w:rsidR="00833D93" w:rsidRPr="009143F0" w:rsidRDefault="00591397" w:rsidP="009143F0">
      <w:pPr>
        <w:spacing w:after="200" w:line="276" w:lineRule="auto"/>
        <w:rPr>
          <w:sz w:val="24"/>
          <w:szCs w:val="24"/>
        </w:rPr>
      </w:pPr>
      <w:r>
        <w:rPr>
          <w:rFonts w:eastAsia="Calibri"/>
          <w:sz w:val="24"/>
          <w:szCs w:val="24"/>
        </w:rPr>
        <w:t>Malgré cette demande croissante, l'offre de formation linguistique de qualité reste limitée dans la région : peu de structures proposent un encadrement pédagogique moderne, des outils numériques adaptés et une préparation sérieuse aux certifications internationales reconnues (DELF/DALF, IELTS/TOEFL/TOEIC, HSK, Goethe-Zertifikat/TestDaF, CILS/CELI/PLIDA).</w:t>
      </w:r>
    </w:p>
    <w:p w:rsidR="00833D93" w:rsidRPr="009143F0" w:rsidRDefault="00591397" w:rsidP="009143F0">
      <w:pPr>
        <w:spacing w:after="200" w:line="276" w:lineRule="auto"/>
        <w:rPr>
          <w:sz w:val="24"/>
          <w:szCs w:val="24"/>
        </w:rPr>
      </w:pPr>
      <w:r>
        <w:rPr>
          <w:rFonts w:eastAsia="Calibri"/>
          <w:sz w:val="24"/>
          <w:szCs w:val="24"/>
        </w:rPr>
        <w:t>Le projet consiste à créer un centre de cours de langues nouvelle génération pour le français, l'anglais, le chinois (mandarin), l'italien et l'allemand, fondé sur un modèle pédagogique hybride associant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outils d'intelligence artificielle pour l'apprentissage individualisé, l'entraînement en autonomie et le suivi de progression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formateurs humains pour les ateliers de conversation, la remédiation et la préparation aux examens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partenariats institutionnels avec les consulats et centres culturels pour garantir la reconnaissance officielle des certifications délivrées.</w:t>
      </w:r>
    </w:p>
    <w:p w:rsidR="00833D93" w:rsidRPr="009143F0" w:rsidRDefault="00591397" w:rsidP="009143F0">
      <w:pPr>
        <w:pBdr>
          <w:left w:val="single" w:sz="12" w:space="8" w:color="2E74B5"/>
        </w:pBdr>
        <w:spacing w:after="200" w:line="276" w:lineRule="auto"/>
        <w:ind w:left="288"/>
        <w:rPr>
          <w:sz w:val="24"/>
          <w:szCs w:val="24"/>
        </w:rPr>
      </w:pPr>
      <w:r>
        <w:rPr>
          <w:rFonts w:eastAsia="Calibri"/>
          <w:i/>
          <w:iCs/>
          <w:sz w:val="24"/>
          <w:szCs w:val="24"/>
        </w:rPr>
        <w:t xml:space="preserve">Le centre sera installé à Andrainjato, dans un local déjà disponible. Porté par La Digithèque, ce projet s'inscrit en cohérence avec ses autres missions prioritaires, notamment la mise en place des services de ressources numériques et la coordination des programmes de certification linguistique, dont il constitue un prolongement opérationnel et commercial. La rentrée est prévue pour septembre ; les inscriptions ouvriront dès le mois d'août, et l'ensemble des démarches de mise en place (aménagement, partenariats, plateformes IA, recrutement) débutera également en août.</w:t>
      </w:r>
    </w:p>
    <w:p w:rsidR="00833D93" w:rsidRPr="00E16684" w:rsidRDefault="00591397" w:rsidP="009143F0">
      <w:pPr>
        <w:pStyle w:val="Titre1"/>
        <w:spacing w:before="320" w:after="160" w:line="276" w:lineRule="auto"/>
        <w:rPr>
          <w:sz w:val="28"/>
          <w:szCs w:val="24"/>
        </w:rPr>
      </w:pPr>
      <w:r>
        <w:rPr>
          <w:rFonts w:eastAsia="Calibri"/>
          <w:b/>
          <w:bCs/>
          <w:color w:val="1F4E79"/>
          <w:sz w:val="28"/>
          <w:szCs w:val="24"/>
        </w:rPr>
        <w:t>2. Objectifs du projet</w:t>
      </w:r>
    </w:p>
    <w:p w:rsidR="00833D93" w:rsidRPr="009143F0" w:rsidRDefault="00591397" w:rsidP="009143F0">
      <w:pPr>
        <w:pStyle w:val="Titre2"/>
        <w:spacing w:before="240" w:after="140" w:line="276" w:lineRule="auto"/>
        <w:rPr>
          <w:sz w:val="24"/>
          <w:szCs w:val="24"/>
        </w:rPr>
      </w:pPr>
      <w:r>
        <w:rPr>
          <w:rFonts w:eastAsia="Calibri"/>
          <w:b/>
          <w:bCs/>
          <w:sz w:val="24"/>
          <w:szCs w:val="24"/>
        </w:rPr>
        <w:t>2.1 Objectif général</w:t>
      </w:r>
    </w:p>
    <w:p w:rsidR="00833D93" w:rsidRPr="009143F0" w:rsidRDefault="00591397" w:rsidP="009143F0">
      <w:pPr>
        <w:spacing w:after="200" w:line="276" w:lineRule="auto"/>
        <w:rPr>
          <w:sz w:val="24"/>
          <w:szCs w:val="24"/>
        </w:rPr>
      </w:pPr>
      <w:r>
        <w:rPr>
          <w:rFonts w:eastAsia="Calibri"/>
          <w:sz w:val="24"/>
          <w:szCs w:val="24"/>
        </w:rPr>
        <w:t xml:space="preserve">Démocratiser l'accès, à Fianarantsoa, à un apprentissage linguistique de qualité et à coût maîtrisé, en combinant intelligence artificielle et accompagnement humain, sous le portage de La Digithèque.</w:t>
      </w:r>
    </w:p>
    <w:p w:rsidR="00833D93" w:rsidRPr="009143F0" w:rsidRDefault="00591397" w:rsidP="009143F0">
      <w:pPr>
        <w:pStyle w:val="Titre2"/>
        <w:spacing w:before="240" w:after="140" w:line="276" w:lineRule="auto"/>
        <w:rPr>
          <w:sz w:val="24"/>
          <w:szCs w:val="24"/>
        </w:rPr>
      </w:pPr>
      <w:r>
        <w:rPr>
          <w:rFonts w:eastAsia="Calibri"/>
          <w:b/>
          <w:bCs/>
          <w:sz w:val="24"/>
          <w:szCs w:val="24"/>
        </w:rPr>
        <w:lastRenderedPageBreak/>
        <w:t>2.2 Objectifs spécifiques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Devenir le centre de référence à Fianarantsoa pour la préparation aux certifications internationales (DELF/DALF, IELTS/TOEFL/TOEIC, HSK/HSKK, Goethe-Zertifikat/TestDaF, CILS/CELI/PLIDA).</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Construire un modèle économique soutenable basé sur des abonnements et des services complémentaires.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Créer un véritable pont entre les apprenants locaux et les opportunités académiques et professionnelles offertes par les pays partenaires, en s'appuyant sur la relation directe construite avec chaque représentation diplomatique et centre culturel :</w:t>
      </w:r>
    </w:p>
    <w:p w:rsidR="00833D93" w:rsidRPr="009143F0" w:rsidRDefault="00591397" w:rsidP="009143F0">
      <w:pPr>
        <w:pStyle w:val="Paragraphedeliste"/>
        <w:numPr>
          <w:ilvl w:val="1"/>
          <w:numId w:val="2"/>
        </w:numPr>
        <w:spacing w:after="100" w:line="276" w:lineRule="auto"/>
        <w:rPr>
          <w:sz w:val="24"/>
          <w:szCs w:val="24"/>
        </w:rPr>
      </w:pPr>
      <w:r>
        <w:rPr>
          <w:rFonts w:eastAsia="Calibri"/>
          <w:sz w:val="24"/>
          <w:szCs w:val="24"/>
        </w:rPr>
        <w:t>France et espace francophone : accompagnement vers Campus France, bourses d'études supérieures, mobilité académique en licence et en master ;</w:t>
      </w:r>
    </w:p>
    <w:p w:rsidR="00833D93" w:rsidRPr="009143F0" w:rsidRDefault="00591397" w:rsidP="009143F0">
      <w:pPr>
        <w:pStyle w:val="Paragraphedeliste"/>
        <w:numPr>
          <w:ilvl w:val="1"/>
          <w:numId w:val="2"/>
        </w:numPr>
        <w:spacing w:after="100" w:line="276" w:lineRule="auto"/>
        <w:rPr>
          <w:sz w:val="24"/>
          <w:szCs w:val="24"/>
        </w:rPr>
      </w:pPr>
      <w:r>
        <w:rPr>
          <w:rFonts w:eastAsia="Calibri"/>
          <w:sz w:val="24"/>
          <w:szCs w:val="24"/>
        </w:rPr>
        <w:t xml:space="preserve">Pays anglophones (Royaume-Uni, États-Unis, Canada, Australie) : bourses d'excellence, programmes de type Fulbright ou Chevening, admissions universitaires conditionnées à l'IELTS/TOEFL, opportunités professionnelles à l'international ;</w:t>
      </w:r>
    </w:p>
    <w:p w:rsidR="00833D93" w:rsidRPr="009143F0" w:rsidRDefault="00591397" w:rsidP="009143F0">
      <w:pPr>
        <w:pStyle w:val="Paragraphedeliste"/>
        <w:numPr>
          <w:ilvl w:val="1"/>
          <w:numId w:val="2"/>
        </w:numPr>
        <w:spacing w:after="100" w:line="276" w:lineRule="auto"/>
        <w:rPr>
          <w:sz w:val="24"/>
          <w:szCs w:val="24"/>
        </w:rPr>
      </w:pPr>
      <w:r>
        <w:rPr>
          <w:rFonts w:eastAsia="Calibri"/>
          <w:sz w:val="24"/>
          <w:szCs w:val="24"/>
        </w:rPr>
        <w:t>Chine : bourses du gouvernement chinois relayées par l'Institut Confucius, partenariats universitaires, opportunités de mobilité académique et professionnelle liées à l'essor des échanges économiques sino-malgaches ;</w:t>
      </w:r>
    </w:p>
    <w:p w:rsidR="00833D93" w:rsidRPr="009143F0" w:rsidRDefault="00591397" w:rsidP="009143F0">
      <w:pPr>
        <w:pStyle w:val="Paragraphedeliste"/>
        <w:numPr>
          <w:ilvl w:val="1"/>
          <w:numId w:val="2"/>
        </w:numPr>
        <w:spacing w:after="100" w:line="276" w:lineRule="auto"/>
        <w:rPr>
          <w:sz w:val="24"/>
          <w:szCs w:val="24"/>
        </w:rPr>
      </w:pPr>
      <w:r>
        <w:rPr>
          <w:rFonts w:eastAsia="Calibri"/>
          <w:sz w:val="24"/>
          <w:szCs w:val="24"/>
        </w:rPr>
        <w:t>Allemagne : bourses DAAD, filières d'études supérieures à coût réduit, forte demande de main-d'œuvre qualifiée ouvrant des opportunités de formation professionnelle et d'emploi en Allemagne ;</w:t>
      </w:r>
    </w:p>
    <w:p w:rsidR="00833D93" w:rsidRPr="009143F0" w:rsidRDefault="00591397" w:rsidP="009143F0">
      <w:pPr>
        <w:pStyle w:val="Paragraphedeliste"/>
        <w:numPr>
          <w:ilvl w:val="1"/>
          <w:numId w:val="2"/>
        </w:numPr>
        <w:spacing w:after="100" w:line="276" w:lineRule="auto"/>
        <w:rPr>
          <w:sz w:val="24"/>
          <w:szCs w:val="24"/>
        </w:rPr>
      </w:pPr>
      <w:r>
        <w:rPr>
          <w:rFonts w:eastAsia="Calibri"/>
          <w:sz w:val="24"/>
          <w:szCs w:val="24"/>
        </w:rPr>
        <w:t>Italie : bourses régionales et universitaires italiennes, programmes d'échange, opportunités liées au tissu culturel, académique et économique italien.</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 xml:space="preserve">Renforcer le positionnement de La Digithèque comme acteur numérique et pédagogique de référence dans la région Haute Matsiatra.</w:t>
      </w:r>
    </w:p>
    <w:p w:rsidR="00833D93" w:rsidRPr="00E16684" w:rsidRDefault="00591397" w:rsidP="009143F0">
      <w:pPr>
        <w:pStyle w:val="Titre1"/>
        <w:spacing w:before="320" w:after="160" w:line="276" w:lineRule="auto"/>
        <w:rPr>
          <w:sz w:val="28"/>
          <w:szCs w:val="24"/>
        </w:rPr>
      </w:pPr>
      <w:r>
        <w:rPr>
          <w:rFonts w:eastAsia="Calibri"/>
          <w:b/>
          <w:bCs/>
          <w:color w:val="1F4E79"/>
          <w:sz w:val="28"/>
          <w:szCs w:val="24"/>
        </w:rPr>
        <w:t>3. Modèle pédagogique hybride : Humain + Intelligence Artificielle</w:t>
      </w:r>
    </w:p>
    <w:p w:rsidR="00833D93" w:rsidRPr="009143F0" w:rsidRDefault="00591397" w:rsidP="009143F0">
      <w:pPr>
        <w:spacing w:after="200" w:line="276" w:lineRule="auto"/>
        <w:rPr>
          <w:sz w:val="24"/>
          <w:szCs w:val="24"/>
        </w:rPr>
      </w:pPr>
      <w:r>
        <w:rPr>
          <w:rFonts w:eastAsia="Calibri"/>
          <w:sz w:val="24"/>
          <w:szCs w:val="24"/>
        </w:rPr>
        <w:t>Le centre repose sur un modèle en deux piliers complémentaires : l'autonomie assistée par IA pour l'acquisition et la répétition, et les ateliers humains pour la pratique orale, la correction fine et la motivation. Le matériel pédagogique et technique nécessaire complète ce dispositif.</w:t>
      </w:r>
    </w:p>
    <w:p w:rsidR="00833D93" w:rsidRPr="009143F0" w:rsidRDefault="00591397" w:rsidP="009143F0">
      <w:pPr>
        <w:pStyle w:val="Titre2"/>
        <w:spacing w:before="240" w:after="140" w:line="276" w:lineRule="auto"/>
        <w:rPr>
          <w:sz w:val="24"/>
          <w:szCs w:val="24"/>
        </w:rPr>
      </w:pPr>
      <w:r>
        <w:rPr>
          <w:rFonts w:eastAsia="Calibri"/>
          <w:b/>
          <w:bCs/>
          <w:sz w:val="24"/>
          <w:szCs w:val="24"/>
        </w:rPr>
        <w:t>3.1 Travail en autonomie assisté par IA</w:t>
      </w:r>
    </w:p>
    <w:p w:rsidR="00833D93" w:rsidRPr="009143F0" w:rsidRDefault="00591397" w:rsidP="009143F0">
      <w:pPr>
        <w:spacing w:after="200" w:line="276" w:lineRule="auto"/>
        <w:rPr>
          <w:sz w:val="24"/>
          <w:szCs w:val="24"/>
        </w:rPr>
      </w:pPr>
      <w:r>
        <w:rPr>
          <w:rFonts w:eastAsia="Calibri"/>
          <w:sz w:val="24"/>
          <w:szCs w:val="24"/>
        </w:rPr>
        <w:t>Chaque apprenant dispose d'un espace de travail individuel sur les ordinateurs du centre, avec accès à des plateformes et outils d'IA dédiés à l'apprentissage des langues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Diagnostic de niveau automatisé à l'entrée (test adaptatif CECRL / HSK).</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Parcours personnalisés générés selon le niveau, les objectifs (examen, voyage, travail) et le rythme de l'apprenant.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Exercices de grammaire, vocabulaire et compréhension avec correction instantanée.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Reconnaissance vocale et entraînement à la prononciation avec retour phonétique en temps réel.</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 xml:space="preserve">Chatbot conversationnel IA pour la pratique de dialogues simulés (situations du quotidien, entretiens, oral d'examen).</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lastRenderedPageBreak/>
        <w:t>Tableau de bord de progression consultable par l'apprenant et par les formateurs, permettant d'ajuster les ateliers en présentiel.</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Générateur d'exercices ciblés sur les points faibles détectés automatiquement.</w:t>
      </w:r>
    </w:p>
    <w:p w:rsidR="00833D93" w:rsidRPr="009143F0" w:rsidRDefault="00591397" w:rsidP="009143F0">
      <w:pPr>
        <w:spacing w:after="200" w:line="276" w:lineRule="auto"/>
        <w:rPr>
          <w:sz w:val="24"/>
          <w:szCs w:val="24"/>
        </w:rPr>
      </w:pPr>
      <w:r>
        <w:rPr>
          <w:rFonts w:eastAsia="Calibri"/>
          <w:sz w:val="24"/>
          <w:szCs w:val="24"/>
        </w:rPr>
        <w:t>Compte tenu du contexte de délestage évoqué plus loin, une solution de connexion internet de secours et, si possible, un fonctionnement en local pour les contenus déjà téléchargés seront prévus afin de limiter la dépendance à une connexion permanente.</w:t>
      </w:r>
    </w:p>
    <w:p w:rsidR="00833D93" w:rsidRPr="009143F0" w:rsidRDefault="00591397" w:rsidP="009143F0">
      <w:pPr>
        <w:pStyle w:val="Titre2"/>
        <w:spacing w:before="240" w:after="140" w:line="276" w:lineRule="auto"/>
        <w:rPr>
          <w:sz w:val="24"/>
          <w:szCs w:val="24"/>
        </w:rPr>
      </w:pPr>
      <w:r>
        <w:rPr>
          <w:rFonts w:eastAsia="Calibri"/>
          <w:b/>
          <w:bCs/>
          <w:sz w:val="24"/>
          <w:szCs w:val="24"/>
        </w:rPr>
        <w:t>3.2 Ateliers de conversation encadrés par des formateurs humains</w:t>
      </w:r>
    </w:p>
    <w:p w:rsidR="00833D93" w:rsidRPr="009143F0" w:rsidRDefault="00591397" w:rsidP="009143F0">
      <w:pPr>
        <w:spacing w:after="200" w:line="276" w:lineRule="auto"/>
        <w:rPr>
          <w:sz w:val="24"/>
          <w:szCs w:val="24"/>
        </w:rPr>
      </w:pPr>
      <w:r>
        <w:rPr>
          <w:rFonts w:eastAsia="Calibri"/>
          <w:sz w:val="24"/>
          <w:szCs w:val="24"/>
        </w:rPr>
        <w:t>L'intelligence artificielle ne remplace pas l'interaction humaine, essentielle à la maîtrise orale et à la motivation. Le centre organise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ateliers de conversation en petits groupes (8 à 10 apprenants), animés par des formateurs natifs ou certifiés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sessions de correction phonétique et culturelle que l'IA ne peut pas entièrement couvrir (nuances, humour, expressions idiomatiques, codes culturels)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 xml:space="preserve">des simulations d'examens oraux en conditions réelles (DELF/DALF, IELTS Speaking, HSKK, mündliche Prüfung, prova orale)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un suivi personnalisé du formateur référent, qui s'appuie sur les données issues du parcours IA de chaque apprenant pour adapter la séance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événements immersifs : club de lecture, ciné-club en langue étrangère, ateliers thématiques avec les centres culturels partenaires.</w:t>
      </w:r>
    </w:p>
    <w:p w:rsidR="00833D93" w:rsidRPr="009143F0" w:rsidRDefault="00591397" w:rsidP="009143F0">
      <w:pPr>
        <w:pStyle w:val="Titre2"/>
        <w:spacing w:before="240" w:after="140" w:line="276" w:lineRule="auto"/>
        <w:rPr>
          <w:sz w:val="24"/>
          <w:szCs w:val="24"/>
        </w:rPr>
      </w:pPr>
      <w:r>
        <w:rPr>
          <w:rFonts w:eastAsia="Calibri"/>
          <w:b/>
          <w:bCs/>
          <w:sz w:val="24"/>
          <w:szCs w:val="24"/>
        </w:rPr>
        <w:t>3.3 Matériel requis</w:t>
      </w:r>
    </w:p>
    <w:p w:rsidR="00833D93" w:rsidRPr="009143F0" w:rsidRDefault="00591397" w:rsidP="009143F0">
      <w:pPr>
        <w:spacing w:after="200" w:line="276" w:lineRule="auto"/>
        <w:rPr>
          <w:sz w:val="24"/>
          <w:szCs w:val="24"/>
        </w:rPr>
      </w:pPr>
      <w:r>
        <w:rPr>
          <w:rFonts w:eastAsia="Calibri"/>
          <w:sz w:val="24"/>
          <w:szCs w:val="24"/>
        </w:rPr>
        <w:t>La mise en œuvre de ce modèle pédagogique hybride nécessite un équipement adapté, résumé dans le tableau ci-dessous à titre indicatif ; les quantités précises seront ajustées selon la capacité d'accueil retenue pour le local.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833D93" w:rsidRPr="009143F0">
        <w:trPr>
          <w:tblHeader/>
        </w:trPr>
        <w:tc>
          <w:tcPr>
            <w:tcW w:w="260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Catégorie</w:t>
            </w:r>
          </w:p>
        </w:tc>
        <w:tc>
          <w:tcPr>
            <w:tcW w:w="675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Éléments requis</w:t>
            </w:r>
          </w:p>
        </w:tc>
      </w:tr>
      <w:tr w:rsidR="00833D93" w:rsidRPr="009143F0">
        <w:tc>
          <w:tcPr>
            <w:tcW w:w="26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Matériel informatique</w:t>
            </w:r>
          </w:p>
        </w:tc>
        <w:tc>
          <w:tcPr>
            <w:tcW w:w="67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Postes de travail (ordinateurs de bureau), casques audio avec micro, connexion internet haut débit stable, onduleurs / régulateurs de tension (contexte de délestage)</w:t>
            </w:r>
          </w:p>
        </w:tc>
      </w:tr>
      <w:tr w:rsidR="00833D93" w:rsidRPr="009143F0">
        <w:tc>
          <w:tcPr>
            <w:tcW w:w="26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Infrastructure réseau</w:t>
            </w:r>
          </w:p>
        </w:tc>
        <w:tc>
          <w:tcPr>
            <w:tcW w:w="67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Routeur/box internet, réseau local (LAN/Wi-Fi sécurisé), serveur local ou accès cloud pour la base de données des utilisateurs, hébergé et administré par le pôle Services Numériques et Incubation</w:t>
            </w:r>
          </w:p>
        </w:tc>
      </w:tr>
      <w:tr w:rsidR="00833D93" w:rsidRPr="009143F0">
        <w:tc>
          <w:tcPr>
            <w:tcW w:w="26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Logiciels &amp; plateformes IA</w:t>
            </w:r>
          </w:p>
        </w:tc>
        <w:tc>
          <w:tcPr>
            <w:tcW w:w="67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Abonnement à une plateforme d'apprentissage adaptatif par IA (voir recommandation ci-dessous), outils de reconnaissance vocale, chatbot conversationnel, logiciel de gestion des abonnements et des accès</w:t>
            </w:r>
          </w:p>
        </w:tc>
      </w:tr>
      <w:tr w:rsidR="00833D93" w:rsidRPr="009143F0">
        <w:tc>
          <w:tcPr>
            <w:tcW w:w="26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lastRenderedPageBreak/>
              <w:t>Mobilier &amp; aménagement</w:t>
            </w:r>
          </w:p>
        </w:tc>
        <w:tc>
          <w:tcPr>
            <w:tcW w:w="67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Postes individuels type « open space » pour le travail autonome, salle(s) fermée(s) pour les ateliers de conversation, espace d'accueil et d'inscription</w:t>
            </w:r>
          </w:p>
        </w:tc>
      </w:tr>
      <w:tr w:rsidR="00833D93" w:rsidRPr="009143F0">
        <w:tc>
          <w:tcPr>
            <w:tcW w:w="26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Supports pédagogiques</w:t>
            </w:r>
          </w:p>
        </w:tc>
        <w:tc>
          <w:tcPr>
            <w:tcW w:w="67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Manuels de référence (DELF/DALF, IELTS/TOEFL, HSK, Goethe-Zertifikat/TestDaF, CILS/CELI/PLIDA), supports audio-vidéo, tableaux blancs / écran de projection dans les salles d'ateliers</w:t>
            </w:r>
          </w:p>
        </w:tc>
      </w:tr>
      <w:tr w:rsidR="00833D93" w:rsidRPr="009143F0">
        <w:tc>
          <w:tcPr>
            <w:tcW w:w="26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Ressources humaines</w:t>
            </w:r>
          </w:p>
        </w:tc>
        <w:tc>
          <w:tcPr>
            <w:tcW w:w="67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Formateurs de français, d'anglais, de chinois, d'italien et d'allemand (natifs ou certifiés), un(e) responsable pédagogique, un(e) technicien(ne) support informatique, rattaché(e)s pour coordination au pôle Formations et Philanthropique de La Digithèque</w:t>
            </w:r>
          </w:p>
        </w:tc>
      </w:tr>
      <w:tr w:rsidR="00833D93" w:rsidRPr="009143F0">
        <w:tc>
          <w:tcPr>
            <w:tcW w:w="26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Sécurité &amp; confort</w:t>
            </w:r>
          </w:p>
        </w:tc>
        <w:tc>
          <w:tcPr>
            <w:tcW w:w="67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Système de vidéosurveillance, climatisation/ventilation, plan de maintenance du parc informatique</w:t>
            </w:r>
          </w:p>
        </w:tc>
      </w:tr>
    </w:tbl>
    <w:p w:rsidR="00833D93" w:rsidRDefault="00591397" w:rsidP="009143F0">
      <w:pPr>
        <w:spacing w:before="100" w:after="300" w:line="276" w:lineRule="auto"/>
        <w:rPr>
          <w:rFonts w:eastAsia="Calibri"/>
          <w:i/>
          <w:iCs/>
          <w:color w:val="555555"/>
          <w:sz w:val="24"/>
          <w:szCs w:val="24"/>
        </w:rPr>
      </w:pPr>
      <w:r>
        <w:rPr>
          <w:rFonts w:eastAsia="Calibri"/>
          <w:i/>
          <w:iCs/>
          <w:color w:val="555555"/>
          <w:sz w:val="24"/>
          <w:szCs w:val="24"/>
        </w:rPr>
        <w:t>Table 1 – Matériel et ressources requis pour le centre</w:t>
      </w:r>
    </w:p>
    <w:p w:rsidR="000C0A51" w:rsidRDefault="000C0A51" w:rsidP="009143F0">
      <w:pPr>
        <w:spacing w:before="100" w:after="300" w:line="276" w:lineRule="auto"/>
        <w:rPr>
          <w:b/>
          <w:color w:val="2E74B5" w:themeColor="accent1" w:themeShade="BF"/>
          <w:sz w:val="24"/>
          <w:szCs w:val="24"/>
        </w:rPr>
      </w:pPr>
      <w:r>
        <w:rPr>
          <w:b/>
          <w:color w:val="2E74B5" w:themeColor="accent1" w:themeShade="BF"/>
          <w:sz w:val="24"/>
          <w:szCs w:val="24"/>
        </w:rPr>
        <w:t>3.4 Plateforme d’apprentissage</w:t>
      </w:r>
    </w:p>
    <w:p w:rsidR="000C0A51" w:rsidRDefault="000C0A51" w:rsidP="009143F0">
      <w:pPr>
        <w:spacing w:before="100" w:after="300" w:line="276" w:lineRule="auto"/>
        <w:rPr>
          <w:color w:val="383835"/>
          <w:sz w:val="24"/>
          <w:szCs w:val="24"/>
          <w:shd w:val="clear" w:color="auto" w:fill="F9F9F7"/>
        </w:rPr>
      </w:pPr>
      <w:r>
        <w:rPr>
          <w:color w:val="383835"/>
          <w:sz w:val="24"/>
          <w:szCs w:val="24"/>
          <w:shd w:val="clear" w:color="auto" w:fill="F9F9F7"/>
        </w:rPr>
        <w:t>Dans le cadre de la mise en place du Centre de Langues IA, plusieurs plateformes d'apprentissage propulsées par l'intelligence artificielle ont été comparées afin d'identifier la solution la plus adaptée aux cinq langues visées (français, anglais, mandarin, italien, allemand). Le tableau ci-dessous présente ces plateformes avec leurs principales fonctionnalités, et sert de base au choix technologique du centre.</w:t>
      </w:r>
    </w:p>
    <w:tbl>
      <w:tblPr>
        <w:tblW w:w="7873" w:type="dxa"/>
        <w:shd w:val="clear" w:color="auto" w:fill="F9F9F7"/>
        <w:tblCellMar>
          <w:left w:w="0" w:type="dxa"/>
          <w:right w:w="0" w:type="dxa"/>
        </w:tblCellMar>
        <w:tblLook w:val="04A0" w:firstRow="1" w:lastRow="0" w:firstColumn="1" w:lastColumn="0" w:noHBand="0" w:noVBand="1"/>
      </w:tblPr>
      <w:tblGrid>
        <w:gridCol w:w="1900"/>
        <w:gridCol w:w="1761"/>
        <w:gridCol w:w="4212"/>
      </w:tblGrid>
      <w:tr w:rsidR="000141D2" w:rsidRPr="000141D2" w:rsidTr="000141D2">
        <w:trPr>
          <w:trHeight w:val="902"/>
          <w:tblHeader/>
        </w:trPr>
        <w:tc>
          <w:tcPr>
            <w:tcW w:w="0" w:type="auto"/>
            <w:tcBorders>
              <w:top w:val="single" w:sz="2" w:space="0" w:color="auto"/>
              <w:left w:val="single" w:sz="2" w:space="0" w:color="auto"/>
              <w:bottom w:val="single" w:sz="2" w:space="0" w:color="auto"/>
              <w:right w:val="single" w:sz="2" w:space="0" w:color="auto"/>
            </w:tcBorders>
            <w:shd w:val="clear" w:color="auto" w:fill="1F4E79" w:themeFill="accent1" w:themeFillShade="80"/>
            <w:tcMar>
              <w:top w:w="0" w:type="dxa"/>
              <w:left w:w="0" w:type="dxa"/>
              <w:bottom w:w="0" w:type="dxa"/>
              <w:right w:w="240" w:type="dxa"/>
            </w:tcMar>
            <w:hideMark/>
          </w:tcPr>
          <w:p w:rsidR="000141D2" w:rsidRPr="000141D2" w:rsidRDefault="000141D2" w:rsidP="000141D2">
            <w:pPr>
              <w:spacing w:line="276" w:lineRule="auto"/>
              <w:jc w:val="center"/>
              <w:rPr>
                <w:b/>
                <w:bCs/>
                <w:color w:val="FFFFFF" w:themeColor="background1"/>
                <w:sz w:val="24"/>
                <w:szCs w:val="24"/>
              </w:rPr>
            </w:pPr>
            <w:r>
              <w:rPr>
                <w:b/>
                <w:bCs/>
                <w:color w:val="FFFFFF" w:themeColor="background1"/>
                <w:sz w:val="24"/>
                <w:szCs w:val="24"/>
              </w:rPr>
              <w:t>Plateforme</w:t>
            </w:r>
          </w:p>
        </w:tc>
        <w:tc>
          <w:tcPr>
            <w:tcW w:w="0" w:type="auto"/>
            <w:tcBorders>
              <w:top w:val="single" w:sz="2" w:space="0" w:color="auto"/>
              <w:left w:val="single" w:sz="2" w:space="0" w:color="auto"/>
              <w:bottom w:val="single" w:sz="2" w:space="0" w:color="auto"/>
              <w:right w:val="single" w:sz="2" w:space="0" w:color="auto"/>
            </w:tcBorders>
            <w:shd w:val="clear" w:color="auto" w:fill="1F4E79" w:themeFill="accent1" w:themeFillShade="80"/>
            <w:tcMar>
              <w:top w:w="0" w:type="dxa"/>
              <w:left w:w="0" w:type="dxa"/>
              <w:bottom w:w="0" w:type="dxa"/>
              <w:right w:w="240" w:type="dxa"/>
            </w:tcMar>
            <w:hideMark/>
          </w:tcPr>
          <w:p w:rsidR="000141D2" w:rsidRPr="000141D2" w:rsidRDefault="000141D2" w:rsidP="000141D2">
            <w:pPr>
              <w:spacing w:line="276" w:lineRule="auto"/>
              <w:jc w:val="center"/>
              <w:rPr>
                <w:b/>
                <w:bCs/>
                <w:color w:val="FFFFFF" w:themeColor="background1"/>
                <w:sz w:val="24"/>
                <w:szCs w:val="24"/>
              </w:rPr>
            </w:pPr>
            <w:r>
              <w:rPr>
                <w:b/>
                <w:bCs/>
                <w:color w:val="FFFFFF" w:themeColor="background1"/>
                <w:sz w:val="24"/>
                <w:szCs w:val="24"/>
              </w:rPr>
              <w:t>Langue(s) couverte(s)</w:t>
            </w:r>
          </w:p>
        </w:tc>
        <w:tc>
          <w:tcPr>
            <w:tcW w:w="4212" w:type="dxa"/>
            <w:tcBorders>
              <w:top w:val="single" w:sz="2" w:space="0" w:color="auto"/>
              <w:left w:val="single" w:sz="2" w:space="0" w:color="auto"/>
              <w:bottom w:val="single" w:sz="2" w:space="0" w:color="auto"/>
              <w:right w:val="single" w:sz="2" w:space="0" w:color="auto"/>
            </w:tcBorders>
            <w:shd w:val="clear" w:color="auto" w:fill="1F4E79" w:themeFill="accent1" w:themeFillShade="80"/>
            <w:tcMar>
              <w:top w:w="0" w:type="dxa"/>
              <w:left w:w="0" w:type="dxa"/>
              <w:bottom w:w="0" w:type="dxa"/>
              <w:right w:w="240" w:type="dxa"/>
            </w:tcMar>
            <w:hideMark/>
          </w:tcPr>
          <w:p w:rsidR="000141D2" w:rsidRPr="000141D2" w:rsidRDefault="000141D2" w:rsidP="000141D2">
            <w:pPr>
              <w:spacing w:line="276" w:lineRule="auto"/>
              <w:jc w:val="center"/>
              <w:rPr>
                <w:b/>
                <w:bCs/>
                <w:color w:val="FFFFFF" w:themeColor="background1"/>
                <w:sz w:val="24"/>
                <w:szCs w:val="24"/>
              </w:rPr>
            </w:pPr>
            <w:r>
              <w:rPr>
                <w:b/>
                <w:bCs/>
                <w:color w:val="FFFFFF" w:themeColor="background1"/>
                <w:sz w:val="24"/>
                <w:szCs w:val="24"/>
              </w:rPr>
              <w:t>Description</w:t>
            </w:r>
          </w:p>
        </w:tc>
      </w:tr>
      <w:tr w:rsidR="000141D2" w:rsidRPr="000141D2" w:rsidTr="000141D2">
        <w:trPr>
          <w:trHeight w:val="1818"/>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t>Talkpal</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Français, Anglais, Mandarin, Italien, Allemand (+ 80 langues au total)</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Tuteur IA conversationnel (type GPT) : dialogues parlés et écrits, correction de prononciation en temps réel, jeux de rôle, renforcement de la grammaire. Offre institutionnelle disponible.</w:t>
            </w:r>
          </w:p>
        </w:tc>
      </w:tr>
      <w:tr w:rsidR="000141D2" w:rsidRPr="000141D2" w:rsidTr="000141D2">
        <w:trPr>
          <w:trHeight w:val="1844"/>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t>Babbel</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Français, Anglais, Italien, Allemand (pas de mandarin)</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Cours structurés par des experts en grammaire, contenus natifs, particulièrement réputé pour l'allemand et l'italien ; IA conversationnelle secondaire.</w:t>
            </w:r>
          </w:p>
        </w:tc>
      </w:tr>
      <w:tr w:rsidR="000141D2" w:rsidRPr="000141D2" w:rsidTr="000141D2">
        <w:trPr>
          <w:trHeight w:val="1558"/>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t>Speak</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Anglais (+ quelques autres langues)</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 xml:space="preserve">Leçons vidéo + tuteur IA conversationnel, reconnaissance vocale poussée ; recommandée par le NYT Wirecutter pour l'anglais.</w:t>
            </w:r>
          </w:p>
        </w:tc>
      </w:tr>
      <w:tr w:rsidR="000141D2" w:rsidRPr="000141D2" w:rsidTr="000141D2">
        <w:trPr>
          <w:trHeight w:val="1486"/>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lastRenderedPageBreak/>
              <w:t xml:space="preserve">Duolingo Max</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Anglais (+ multi-langues)</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Marque très reconnue des étudiants, mise en situation par IA (appel vidéo avec personnage IA), bon complément à une offre payante plus structurée.</w:t>
            </w:r>
          </w:p>
        </w:tc>
      </w:tr>
      <w:tr w:rsidR="000141D2" w:rsidRPr="000141D2" w:rsidTr="000141D2">
        <w:trPr>
          <w:trHeight w:val="1279"/>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t>Mondly</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Italien, Allemand (+ multi-langues)</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 xml:space="preserve">Reconnaissance vocale, chatbot IA pour dialogues réalistes, approche ludique.</w:t>
            </w:r>
          </w:p>
        </w:tc>
      </w:tr>
      <w:tr w:rsidR="000141D2" w:rsidRPr="000141D2" w:rsidTr="000141D2">
        <w:trPr>
          <w:trHeight w:val="1695"/>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t>SuperChinese</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Mandarin</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IA avec répétition espacée, vidéos animées, leçons thématiques et jeux, pinyin intégré pour débutants — bien adapté à la préparation HSK.</w:t>
            </w:r>
          </w:p>
        </w:tc>
      </w:tr>
    </w:tbl>
    <w:p w:rsidR="000C0A51" w:rsidRPr="000C0A51" w:rsidRDefault="000C0A51" w:rsidP="009143F0">
      <w:pPr>
        <w:spacing w:before="100" w:after="300" w:line="276" w:lineRule="auto"/>
        <w:rPr>
          <w:b/>
          <w:color w:val="2E74B5" w:themeColor="accent1" w:themeShade="BF"/>
          <w:sz w:val="24"/>
          <w:szCs w:val="24"/>
        </w:rPr>
      </w:pPr>
    </w:p>
    <w:p w:rsidR="00833D93" w:rsidRPr="009143F0" w:rsidRDefault="00591397" w:rsidP="009143F0">
      <w:pPr>
        <w:pStyle w:val="Titre2"/>
        <w:spacing w:before="240" w:after="140" w:line="276" w:lineRule="auto"/>
        <w:rPr>
          <w:sz w:val="24"/>
          <w:szCs w:val="24"/>
        </w:rPr>
      </w:pPr>
      <w:r>
        <w:rPr>
          <w:rFonts w:eastAsia="Calibri"/>
          <w:b/>
          <w:bCs/>
          <w:sz w:val="24"/>
          <w:szCs w:val="24"/>
        </w:rPr>
        <w:t xml:space="preserve">Plateforme IA recommandée : Talkpal</w:t>
      </w:r>
    </w:p>
    <w:p w:rsidR="00833D93" w:rsidRPr="009143F0" w:rsidRDefault="00591397" w:rsidP="009143F0">
      <w:pPr>
        <w:spacing w:after="200" w:line="276" w:lineRule="auto"/>
        <w:rPr>
          <w:sz w:val="24"/>
          <w:szCs w:val="24"/>
        </w:rPr>
      </w:pPr>
      <w:r>
        <w:rPr>
          <w:rFonts w:eastAsia="Calibri"/>
          <w:sz w:val="24"/>
          <w:szCs w:val="24"/>
        </w:rPr>
        <w:t xml:space="preserve">Parmi les plateformes d'apprentissage de langues par IA disponibles sur abonnement, Talkpal est la solution la plus adaptée au projet de La Digithèque, car elle couvre l'ensemble des cinq langues du centre (français, anglais, mandarin, italien, allemand) au sein d'un seul et même outil, et propose une offre d'abonnement en gros destinée aux établissements d'enseignement (un modèle directement compatible avec le fonctionnement par identifiants et formules d'abonnement)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 xml:space="preserve">Description : tuteur de langues propulsé par IA conversationnelle (technologie type GPT), permettant la pratique de dialogues parlés et écrits, la correction de prononciation en temps réel, des mises en situation (jeux de rôle) et le renforcement de la grammaire plus de 80 langues prises en charge.</w:t>
      </w:r>
    </w:p>
    <w:p w:rsidR="00833D93" w:rsidRPr="0080185E" w:rsidRDefault="00591397" w:rsidP="009143F0">
      <w:pPr>
        <w:pStyle w:val="Titre1"/>
        <w:spacing w:before="320" w:after="160" w:line="276" w:lineRule="auto"/>
        <w:rPr>
          <w:sz w:val="28"/>
          <w:szCs w:val="24"/>
        </w:rPr>
      </w:pPr>
      <w:r>
        <w:rPr>
          <w:rFonts w:eastAsia="Calibri"/>
          <w:b/>
          <w:bCs/>
          <w:color w:val="1F4E79"/>
          <w:sz w:val="28"/>
          <w:szCs w:val="24"/>
        </w:rPr>
        <w:t>4. Partenariats avec les consulats et centres culturels</w:t>
      </w:r>
    </w:p>
    <w:p w:rsidR="00833D93" w:rsidRPr="009143F0" w:rsidRDefault="00591397" w:rsidP="009143F0">
      <w:pPr>
        <w:spacing w:after="200" w:line="276" w:lineRule="auto"/>
        <w:rPr>
          <w:sz w:val="24"/>
          <w:szCs w:val="24"/>
        </w:rPr>
      </w:pPr>
      <w:r>
        <w:rPr>
          <w:rFonts w:eastAsia="Calibri"/>
          <w:sz w:val="24"/>
          <w:szCs w:val="24"/>
        </w:rPr>
        <w:t>La crédibilité du centre repose en grande partie sur la reconnaissance officielle des formations et certifications proposées. Des partenariats seront établis avec les représentations diplomatiques et centres culturels compétents pour chaque langue.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3300"/>
        <w:gridCol w:w="4200"/>
      </w:tblGrid>
      <w:tr w:rsidR="00833D93" w:rsidRPr="009143F0">
        <w:trPr>
          <w:tblHeader/>
        </w:trPr>
        <w:tc>
          <w:tcPr>
            <w:tcW w:w="185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lastRenderedPageBreak/>
              <w:t>Langue</w:t>
            </w:r>
          </w:p>
        </w:tc>
        <w:tc>
          <w:tcPr>
            <w:tcW w:w="330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Certification internationale</w:t>
            </w:r>
          </w:p>
        </w:tc>
        <w:tc>
          <w:tcPr>
            <w:tcW w:w="420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Organisme officiel partenaire</w:t>
            </w:r>
          </w:p>
        </w:tc>
      </w:tr>
      <w:tr w:rsidR="00833D93" w:rsidRPr="009143F0">
        <w:tc>
          <w:tcPr>
            <w:tcW w:w="18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Français</w:t>
            </w:r>
          </w:p>
        </w:tc>
        <w:tc>
          <w:tcPr>
            <w:tcW w:w="33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DELF / DALF (tous niveaux, A1 à C2)</w:t>
            </w:r>
          </w:p>
        </w:tc>
        <w:tc>
          <w:tcPr>
            <w:tcW w:w="42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Alliance Française de Fianarantsoa / Institut Français de Madagascar</w:t>
            </w:r>
          </w:p>
        </w:tc>
      </w:tr>
      <w:tr w:rsidR="00833D93" w:rsidRPr="009143F0">
        <w:tc>
          <w:tcPr>
            <w:tcW w:w="18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Anglais</w:t>
            </w:r>
          </w:p>
        </w:tc>
        <w:tc>
          <w:tcPr>
            <w:tcW w:w="33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IELTS, TOEFL iBT, TOEIC</w:t>
            </w:r>
          </w:p>
        </w:tc>
        <w:tc>
          <w:tcPr>
            <w:tcW w:w="42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British Council / Ambassade des États-Unis (programme EducationUSA)</w:t>
            </w:r>
          </w:p>
        </w:tc>
      </w:tr>
      <w:tr w:rsidR="00833D93" w:rsidRPr="009143F0">
        <w:tc>
          <w:tcPr>
            <w:tcW w:w="18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Chinois (Mandarin)</w:t>
            </w:r>
          </w:p>
        </w:tc>
        <w:tc>
          <w:tcPr>
            <w:tcW w:w="33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HSK et HSKK (compréhension et expression orale)</w:t>
            </w:r>
          </w:p>
        </w:tc>
        <w:tc>
          <w:tcPr>
            <w:tcW w:w="42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Institut Confucius / Ambassade de Chine à Madagascar</w:t>
            </w:r>
          </w:p>
        </w:tc>
      </w:tr>
      <w:tr w:rsidR="00833D93" w:rsidRPr="009143F0">
        <w:tc>
          <w:tcPr>
            <w:tcW w:w="18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Allemand</w:t>
            </w:r>
          </w:p>
        </w:tc>
        <w:tc>
          <w:tcPr>
            <w:tcW w:w="33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Goethe-Zertifikat, TestDaF, ÖSD</w:t>
            </w:r>
          </w:p>
        </w:tc>
        <w:tc>
          <w:tcPr>
            <w:tcW w:w="42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Ambassade d'Allemagne / Goethe-Zentrum Antananarivo</w:t>
            </w:r>
          </w:p>
        </w:tc>
      </w:tr>
      <w:tr w:rsidR="00833D93" w:rsidRPr="009143F0">
        <w:tc>
          <w:tcPr>
            <w:tcW w:w="18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Italien</w:t>
            </w:r>
          </w:p>
        </w:tc>
        <w:tc>
          <w:tcPr>
            <w:tcW w:w="33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CILS, CELI, PLIDA</w:t>
            </w:r>
          </w:p>
        </w:tc>
        <w:tc>
          <w:tcPr>
            <w:tcW w:w="42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Ambassade d'Italie et Institut Culturel Italien (ou centres d'examen agréés par les universités italiennes, selon les sessions)</w:t>
            </w:r>
          </w:p>
        </w:tc>
      </w:tr>
    </w:tbl>
    <w:p w:rsidR="00833D93" w:rsidRPr="009143F0" w:rsidRDefault="00591397" w:rsidP="009143F0">
      <w:pPr>
        <w:spacing w:before="100" w:after="300" w:line="276" w:lineRule="auto"/>
        <w:rPr>
          <w:sz w:val="24"/>
          <w:szCs w:val="24"/>
        </w:rPr>
      </w:pPr>
      <w:r>
        <w:rPr>
          <w:rFonts w:eastAsia="Calibri"/>
          <w:i/>
          <w:iCs/>
          <w:color w:val="555555"/>
          <w:sz w:val="24"/>
          <w:szCs w:val="24"/>
        </w:rPr>
        <w:t>Table 2 – Cartographie des partenariats de certification par langue</w:t>
      </w:r>
    </w:p>
    <w:p w:rsidR="00833D93" w:rsidRDefault="007E001B" w:rsidP="009143F0">
      <w:pPr>
        <w:spacing w:after="200" w:line="276" w:lineRule="auto"/>
        <w:rPr>
          <w:rFonts w:eastAsia="Calibri"/>
          <w:b/>
          <w:color w:val="2E74B5" w:themeColor="accent1" w:themeShade="BF"/>
          <w:sz w:val="24"/>
          <w:szCs w:val="24"/>
        </w:rPr>
      </w:pPr>
      <w:r>
        <w:rPr>
          <w:rFonts w:eastAsia="Calibri"/>
          <w:b/>
          <w:color w:val="2E74B5" w:themeColor="accent1" w:themeShade="BF"/>
          <w:sz w:val="24"/>
          <w:szCs w:val="24"/>
        </w:rPr>
        <w:t xml:space="preserve">4.1 Modalités de collaboration envisagées :</w:t>
      </w:r>
    </w:p>
    <w:p w:rsidR="007E001B" w:rsidRPr="007E001B" w:rsidRDefault="007E001B" w:rsidP="007E001B">
      <w:pPr>
        <w:pStyle w:val="NormalWeb"/>
        <w:shd w:val="clear" w:color="auto" w:fill="FCFCFC"/>
        <w:spacing w:line="276" w:lineRule="auto"/>
        <w:rPr>
          <w:color w:val="0D0D0D"/>
        </w:rPr>
      </w:pPr>
      <w:r>
        <w:rPr>
          <w:color w:val="0D0D0D"/>
        </w:rPr>
        <w:t>Les partenariats auront pour objectif de permettre au centre d'assurer la préparation des candidats dans le respect des référentiels officiels, tout en facilitant leur accès aux examens internationaux.</w:t>
      </w:r>
    </w:p>
    <w:p w:rsidR="007E001B" w:rsidRPr="007E001B" w:rsidRDefault="007E001B" w:rsidP="007E001B">
      <w:pPr>
        <w:pStyle w:val="NormalWeb"/>
        <w:shd w:val="clear" w:color="auto" w:fill="FCFCFC"/>
        <w:spacing w:line="276" w:lineRule="auto"/>
        <w:rPr>
          <w:color w:val="0D0D0D"/>
        </w:rPr>
      </w:pPr>
      <w:r>
        <w:rPr>
          <w:color w:val="0D0D0D"/>
        </w:rPr>
        <w:t>Les principales modalités de collaboration envisagées sont les suivantes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Convention-cadre pour l'organisation de sessions d'examen officielles ou l'orientation vers les centres d'examen agréés les plus proches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Reconnaissance du centre comme centre de préparation agréé ou partenaire pédagogique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Accès à du matériel pédagogique officiel et à des formations pour les formateurs du centre ;</w:t>
      </w:r>
    </w:p>
    <w:p w:rsidR="00833D93" w:rsidRPr="00E64CC7" w:rsidRDefault="00591397" w:rsidP="009143F0">
      <w:pPr>
        <w:pStyle w:val="Paragraphedeliste"/>
        <w:numPr>
          <w:ilvl w:val="0"/>
          <w:numId w:val="2"/>
        </w:numPr>
        <w:spacing w:after="120" w:line="276" w:lineRule="auto"/>
        <w:rPr>
          <w:sz w:val="24"/>
          <w:szCs w:val="24"/>
        </w:rPr>
      </w:pPr>
      <w:r>
        <w:rPr>
          <w:rFonts w:eastAsia="Calibri"/>
          <w:sz w:val="24"/>
          <w:szCs w:val="24"/>
        </w:rPr>
        <w:t>Participation croisée aux événements culturels (semaine de la Francophonie, Nouvel An chinois, journées culturelles anglophones, germanophones et italiennes) pour renforcer la visibilité du centre.</w:t>
      </w:r>
    </w:p>
    <w:p w:rsidR="00E64CC7" w:rsidRDefault="00E64CC7" w:rsidP="00E64CC7">
      <w:pPr>
        <w:spacing w:after="120" w:line="276" w:lineRule="auto"/>
        <w:rPr>
          <w:b/>
          <w:color w:val="2E74B5" w:themeColor="accent1" w:themeShade="BF"/>
          <w:sz w:val="24"/>
          <w:szCs w:val="24"/>
        </w:rPr>
      </w:pPr>
      <w:r>
        <w:rPr>
          <w:b/>
          <w:color w:val="2E74B5" w:themeColor="accent1" w:themeShade="BF"/>
          <w:sz w:val="24"/>
          <w:szCs w:val="24"/>
        </w:rPr>
        <w:t>4.2 Organisation des examens de certifications internationale</w:t>
      </w:r>
    </w:p>
    <w:p w:rsidR="00E64CC7" w:rsidRPr="00E64CC7" w:rsidRDefault="00E64CC7" w:rsidP="00E64CC7">
      <w:pPr>
        <w:pStyle w:val="NormalWeb"/>
        <w:shd w:val="clear" w:color="auto" w:fill="FCFCFC"/>
        <w:spacing w:line="276" w:lineRule="auto"/>
        <w:rPr>
          <w:color w:val="0D0D0D"/>
        </w:rPr>
      </w:pPr>
      <w:r>
        <w:rPr>
          <w:color w:val="0D0D0D"/>
        </w:rPr>
        <w:t>Les examens conduisant à l'obtention des diplômes internationaux seront organisés conformément aux règlements de chaque organisme certificateur.</w:t>
      </w:r>
    </w:p>
    <w:p w:rsidR="00E64CC7" w:rsidRPr="00E64CC7" w:rsidRDefault="00E64CC7" w:rsidP="00E64CC7">
      <w:pPr>
        <w:pStyle w:val="NormalWeb"/>
        <w:shd w:val="clear" w:color="auto" w:fill="FCFCFC"/>
        <w:spacing w:line="276" w:lineRule="auto"/>
        <w:rPr>
          <w:color w:val="0D0D0D"/>
        </w:rPr>
      </w:pPr>
      <w:r>
        <w:rPr>
          <w:color w:val="0D0D0D"/>
        </w:rPr>
        <w:t xml:space="preserve">Durant la phase de lancement du projet, La Digithèque assurera principalement la préparation pédagogique des candidats. Les examens seront ensuite passés dans les centres officiellement agréés présents à Madagascar, notamment l'Alliance Française, le Goethe-Zentrum Antananarivo, l'Institut Confucius ou tout autre centre habilité selon la langue concernée.</w:t>
      </w:r>
    </w:p>
    <w:p w:rsidR="00E64CC7" w:rsidRDefault="00E64CC7" w:rsidP="00E64CC7">
      <w:pPr>
        <w:pStyle w:val="NormalWeb"/>
        <w:shd w:val="clear" w:color="auto" w:fill="FCFCFC"/>
        <w:spacing w:line="276" w:lineRule="auto"/>
        <w:rPr>
          <w:color w:val="0D0D0D"/>
        </w:rPr>
      </w:pPr>
      <w:r>
        <w:rPr>
          <w:color w:val="0D0D0D"/>
        </w:rPr>
        <w:t>Le parcours d'un candidat sera organisé selon les étapes suivantes :</w:t>
      </w:r>
    </w:p>
    <w:p w:rsidR="00E64CC7" w:rsidRDefault="00E64CC7" w:rsidP="00E64CC7">
      <w:pPr>
        <w:pStyle w:val="NormalWeb"/>
        <w:numPr>
          <w:ilvl w:val="0"/>
          <w:numId w:val="5"/>
        </w:numPr>
        <w:shd w:val="clear" w:color="auto" w:fill="FCFCFC"/>
        <w:spacing w:line="276" w:lineRule="auto"/>
        <w:rPr>
          <w:color w:val="0D0D0D"/>
        </w:rPr>
      </w:pPr>
      <w:r>
        <w:rPr>
          <w:rStyle w:val="lev"/>
          <w:color w:val="0D0D0D"/>
        </w:rPr>
        <w:lastRenderedPageBreak/>
        <w:t>Évaluation diagnostique</w:t>
      </w:r>
      <w:r>
        <w:rPr>
          <w:color w:val="0D0D0D"/>
        </w:rPr>
        <w:t> permettant de déterminer le niveau initial du candidat selon le Cadre européen commun de référence pour les langues (CECRL) ou le référentiel HSK pour le mandarin.</w:t>
      </w:r>
    </w:p>
    <w:p w:rsidR="00E64CC7" w:rsidRDefault="00E64CC7" w:rsidP="00E64CC7">
      <w:pPr>
        <w:pStyle w:val="NormalWeb"/>
        <w:numPr>
          <w:ilvl w:val="0"/>
          <w:numId w:val="5"/>
        </w:numPr>
        <w:shd w:val="clear" w:color="auto" w:fill="FCFCFC"/>
        <w:spacing w:line="276" w:lineRule="auto"/>
        <w:rPr>
          <w:color w:val="0D0D0D"/>
        </w:rPr>
      </w:pPr>
      <w:r>
        <w:rPr>
          <w:rStyle w:val="lev"/>
          <w:color w:val="0D0D0D"/>
        </w:rPr>
        <w:t>Formation</w:t>
      </w:r>
      <w:r>
        <w:rPr>
          <w:color w:val="0D0D0D"/>
        </w:rPr>
        <w:t> combinant apprentissage assisté par intelligence artificielle, ateliers de conversation, exercices pratiques et évaluations régulières.</w:t>
      </w:r>
    </w:p>
    <w:p w:rsidR="00E64CC7" w:rsidRDefault="00E64CC7" w:rsidP="00E64CC7">
      <w:pPr>
        <w:pStyle w:val="NormalWeb"/>
        <w:numPr>
          <w:ilvl w:val="0"/>
          <w:numId w:val="5"/>
        </w:numPr>
        <w:shd w:val="clear" w:color="auto" w:fill="FCFCFC"/>
        <w:spacing w:line="276" w:lineRule="auto"/>
        <w:rPr>
          <w:color w:val="0D0D0D"/>
        </w:rPr>
      </w:pPr>
      <w:r>
        <w:rPr>
          <w:rStyle w:val="lev"/>
          <w:color w:val="0D0D0D"/>
        </w:rPr>
        <w:t>Examens blancs</w:t>
      </w:r>
      <w:r>
        <w:rPr>
          <w:color w:val="0D0D0D"/>
        </w:rPr>
        <w:t> organisés au sein du centre afin d'évaluer l'état de préparation des candidats dans des conditions proches de l'examen officiel.</w:t>
      </w:r>
    </w:p>
    <w:p w:rsidR="00E64CC7" w:rsidRDefault="00E64CC7" w:rsidP="00E64CC7">
      <w:pPr>
        <w:pStyle w:val="NormalWeb"/>
        <w:numPr>
          <w:ilvl w:val="0"/>
          <w:numId w:val="5"/>
        </w:numPr>
        <w:shd w:val="clear" w:color="auto" w:fill="FCFCFC"/>
        <w:spacing w:line="276" w:lineRule="auto"/>
        <w:rPr>
          <w:color w:val="0D0D0D"/>
        </w:rPr>
      </w:pPr>
      <w:r>
        <w:rPr>
          <w:rStyle w:val="lev"/>
          <w:color w:val="0D0D0D"/>
        </w:rPr>
        <w:t>Validation pédagogique</w:t>
      </w:r>
      <w:r>
        <w:rPr>
          <w:color w:val="0D0D0D"/>
        </w:rPr>
        <w:t> par les formateurs avant l'inscription à la certification internationale.</w:t>
      </w:r>
    </w:p>
    <w:p w:rsidR="00E64CC7" w:rsidRDefault="00E64CC7" w:rsidP="00E64CC7">
      <w:pPr>
        <w:pStyle w:val="NormalWeb"/>
        <w:numPr>
          <w:ilvl w:val="0"/>
          <w:numId w:val="5"/>
        </w:numPr>
        <w:shd w:val="clear" w:color="auto" w:fill="FCFCFC"/>
        <w:spacing w:line="276" w:lineRule="auto"/>
        <w:rPr>
          <w:color w:val="0D0D0D"/>
        </w:rPr>
      </w:pPr>
      <w:r>
        <w:rPr>
          <w:rStyle w:val="lev"/>
          <w:color w:val="0D0D0D"/>
        </w:rPr>
        <w:t>Inscription officielle</w:t>
      </w:r>
      <w:r>
        <w:rPr>
          <w:color w:val="0D0D0D"/>
        </w:rPr>
        <w:t> auprès de l'organisme certificateur partenaire avec constitution du dossier administratif et paiement des frais d'examen.</w:t>
      </w:r>
    </w:p>
    <w:p w:rsidR="00E64CC7" w:rsidRPr="00E64CC7" w:rsidRDefault="00E64CC7" w:rsidP="00E64CC7">
      <w:pPr>
        <w:pStyle w:val="NormalWeb"/>
        <w:numPr>
          <w:ilvl w:val="0"/>
          <w:numId w:val="5"/>
        </w:numPr>
        <w:shd w:val="clear" w:color="auto" w:fill="FCFCFC"/>
        <w:spacing w:line="276" w:lineRule="auto"/>
        <w:rPr>
          <w:color w:val="0D0D0D"/>
        </w:rPr>
      </w:pPr>
      <w:r>
        <w:rPr>
          <w:rStyle w:val="lev"/>
          <w:color w:val="0D0D0D"/>
        </w:rPr>
        <w:t>Passage des épreuves</w:t>
      </w:r>
      <w:r>
        <w:rPr>
          <w:color w:val="0D0D0D"/>
        </w:rPr>
        <w:t> dans le centre d'examen agréé, sous la supervision d'examinateurs habilités selon les procédures internationales.</w:t>
      </w:r>
    </w:p>
    <w:p w:rsidR="00E64CC7" w:rsidRDefault="00E64CC7" w:rsidP="00E64CC7">
      <w:pPr>
        <w:pStyle w:val="NormalWeb"/>
        <w:shd w:val="clear" w:color="auto" w:fill="FCFCFC"/>
        <w:spacing w:line="276" w:lineRule="auto"/>
        <w:rPr>
          <w:color w:val="0D0D0D"/>
        </w:rPr>
      </w:pPr>
      <w:r>
        <w:rPr>
          <w:color w:val="0D0D0D"/>
        </w:rPr>
        <w:t>Les examens comprennent généralement quatre compétences :</w:t>
      </w:r>
    </w:p>
    <w:p w:rsidR="00E64CC7" w:rsidRDefault="00E64CC7" w:rsidP="00E64CC7">
      <w:pPr>
        <w:pStyle w:val="NormalWeb"/>
        <w:numPr>
          <w:ilvl w:val="0"/>
          <w:numId w:val="6"/>
        </w:numPr>
        <w:shd w:val="clear" w:color="auto" w:fill="FCFCFC"/>
        <w:spacing w:line="276" w:lineRule="auto"/>
        <w:rPr>
          <w:color w:val="0D0D0D"/>
        </w:rPr>
      </w:pPr>
      <w:r>
        <w:rPr>
          <w:color w:val="0D0D0D"/>
        </w:rPr>
        <w:t>compréhension orale ;</w:t>
      </w:r>
    </w:p>
    <w:p w:rsidR="00E64CC7" w:rsidRDefault="00E64CC7" w:rsidP="00E64CC7">
      <w:pPr>
        <w:pStyle w:val="NormalWeb"/>
        <w:numPr>
          <w:ilvl w:val="0"/>
          <w:numId w:val="6"/>
        </w:numPr>
        <w:shd w:val="clear" w:color="auto" w:fill="FCFCFC"/>
        <w:spacing w:line="276" w:lineRule="auto"/>
        <w:rPr>
          <w:color w:val="0D0D0D"/>
        </w:rPr>
      </w:pPr>
      <w:r>
        <w:rPr>
          <w:color w:val="0D0D0D"/>
        </w:rPr>
        <w:t>compréhension écrite ;</w:t>
      </w:r>
    </w:p>
    <w:p w:rsidR="00E64CC7" w:rsidRDefault="00E64CC7" w:rsidP="00E64CC7">
      <w:pPr>
        <w:pStyle w:val="NormalWeb"/>
        <w:numPr>
          <w:ilvl w:val="0"/>
          <w:numId w:val="6"/>
        </w:numPr>
        <w:shd w:val="clear" w:color="auto" w:fill="FCFCFC"/>
        <w:spacing w:line="276" w:lineRule="auto"/>
        <w:rPr>
          <w:color w:val="0D0D0D"/>
        </w:rPr>
      </w:pPr>
      <w:r>
        <w:rPr>
          <w:color w:val="0D0D0D"/>
        </w:rPr>
        <w:t>expression écrite ;</w:t>
      </w:r>
    </w:p>
    <w:p w:rsidR="00E64CC7" w:rsidRPr="00E64CC7" w:rsidRDefault="00E64CC7" w:rsidP="00E64CC7">
      <w:pPr>
        <w:pStyle w:val="NormalWeb"/>
        <w:numPr>
          <w:ilvl w:val="0"/>
          <w:numId w:val="6"/>
        </w:numPr>
        <w:shd w:val="clear" w:color="auto" w:fill="FCFCFC"/>
        <w:spacing w:line="276" w:lineRule="auto"/>
        <w:rPr>
          <w:color w:val="0D0D0D"/>
        </w:rPr>
      </w:pPr>
      <w:r>
        <w:rPr>
          <w:color w:val="0D0D0D"/>
        </w:rPr>
        <w:t>expression orale.</w:t>
      </w:r>
    </w:p>
    <w:p w:rsidR="00E64CC7" w:rsidRPr="00E64CC7" w:rsidRDefault="00E64CC7" w:rsidP="00E64CC7">
      <w:pPr>
        <w:pStyle w:val="NormalWeb"/>
        <w:shd w:val="clear" w:color="auto" w:fill="FCFCFC"/>
        <w:spacing w:line="276" w:lineRule="auto"/>
        <w:rPr>
          <w:color w:val="0D0D0D"/>
        </w:rPr>
      </w:pPr>
      <w:r>
        <w:rPr>
          <w:color w:val="0D0D0D"/>
        </w:rPr>
        <w:t xml:space="preserve">Les modalités exactes varient selon les certifications (DELF/DALF, IELTS, TOEFL, TOEIC, HSK, Goethe-Zertifikat, TestDaF, CILS, CELI ou PLIDA).</w:t>
      </w:r>
    </w:p>
    <w:p w:rsidR="00E64CC7" w:rsidRPr="00E64CC7" w:rsidRDefault="00E64CC7" w:rsidP="00E64CC7">
      <w:pPr>
        <w:pStyle w:val="NormalWeb"/>
        <w:shd w:val="clear" w:color="auto" w:fill="FCFCFC"/>
        <w:spacing w:line="276" w:lineRule="auto"/>
        <w:rPr>
          <w:color w:val="0D0D0D"/>
        </w:rPr>
      </w:pPr>
      <w:r>
        <w:rPr>
          <w:color w:val="0D0D0D"/>
        </w:rPr>
        <w:t>À l'issue des épreuves, les copies sont corrigées selon les procédures de l'organisme certificateur. Les résultats sont ensuite publiés officiellement et les candidats admis reçoivent un diplôme ou un certificat international reconnu.</w:t>
      </w:r>
    </w:p>
    <w:p w:rsidR="00E64CC7" w:rsidRPr="00E64CC7" w:rsidRDefault="00E64CC7" w:rsidP="00E64CC7">
      <w:pPr>
        <w:pStyle w:val="Titre2"/>
        <w:shd w:val="clear" w:color="auto" w:fill="FCFCFC"/>
        <w:spacing w:after="60" w:line="276" w:lineRule="auto"/>
        <w:rPr>
          <w:b/>
          <w:color w:val="2E74B5" w:themeColor="accent1" w:themeShade="BF"/>
          <w:sz w:val="24"/>
          <w:szCs w:val="24"/>
        </w:rPr>
      </w:pPr>
      <w:r>
        <w:rPr>
          <w:b/>
          <w:color w:val="2E74B5" w:themeColor="accent1" w:themeShade="BF"/>
          <w:sz w:val="24"/>
          <w:szCs w:val="24"/>
        </w:rPr>
        <w:t>4.3 Vision à moyen et long terme</w:t>
      </w:r>
    </w:p>
    <w:p w:rsidR="00E64CC7" w:rsidRPr="00E64CC7" w:rsidRDefault="00E64CC7" w:rsidP="00E64CC7">
      <w:pPr>
        <w:pStyle w:val="NormalWeb"/>
        <w:shd w:val="clear" w:color="auto" w:fill="FCFCFC"/>
        <w:spacing w:line="276" w:lineRule="auto"/>
        <w:rPr>
          <w:color w:val="0D0D0D"/>
        </w:rPr>
      </w:pPr>
      <w:r>
        <w:rPr>
          <w:color w:val="0D0D0D"/>
        </w:rPr>
        <w:t>Le projet sera développé progressivement selon trois étapes.</w:t>
      </w:r>
    </w:p>
    <w:p w:rsidR="00E64CC7" w:rsidRPr="00E64CC7" w:rsidRDefault="00E64CC7" w:rsidP="00E64CC7">
      <w:pPr>
        <w:pStyle w:val="NormalWeb"/>
        <w:shd w:val="clear" w:color="auto" w:fill="FCFCFC"/>
        <w:spacing w:before="0" w:after="0" w:line="276" w:lineRule="auto"/>
        <w:rPr>
          <w:color w:val="0D0D0D"/>
        </w:rPr>
      </w:pPr>
      <w:r>
        <w:rPr>
          <w:rStyle w:val="lev"/>
          <w:color w:val="0D0D0D"/>
        </w:rPr>
        <w:t>Phase 1 : Centre de préparation</w:t>
      </w:r>
    </w:p>
    <w:p w:rsidR="00E64CC7" w:rsidRPr="00E64CC7" w:rsidRDefault="00E64CC7" w:rsidP="00E64CC7">
      <w:pPr>
        <w:pStyle w:val="NormalWeb"/>
        <w:shd w:val="clear" w:color="auto" w:fill="FCFCFC"/>
        <w:spacing w:line="276" w:lineRule="auto"/>
        <w:rPr>
          <w:color w:val="0D0D0D"/>
        </w:rPr>
      </w:pPr>
      <w:r>
        <w:rPr>
          <w:color w:val="0D0D0D"/>
        </w:rPr>
        <w:t xml:space="preserve">La Digithèque prépare les candidats aux certifications internationales et les accompagne dans leur inscription auprès des centres d'examen agréés de Madagascar.</w:t>
      </w:r>
    </w:p>
    <w:p w:rsidR="00E64CC7" w:rsidRPr="00E64CC7" w:rsidRDefault="00E64CC7" w:rsidP="00E64CC7">
      <w:pPr>
        <w:pStyle w:val="NormalWeb"/>
        <w:shd w:val="clear" w:color="auto" w:fill="FCFCFC"/>
        <w:spacing w:before="0" w:after="0" w:line="276" w:lineRule="auto"/>
        <w:rPr>
          <w:color w:val="0D0D0D"/>
        </w:rPr>
      </w:pPr>
      <w:r>
        <w:rPr>
          <w:rStyle w:val="lev"/>
          <w:color w:val="0D0D0D"/>
        </w:rPr>
        <w:t>Phase 2 : Centre partenaire</w:t>
      </w:r>
    </w:p>
    <w:p w:rsidR="00E64CC7" w:rsidRPr="00E64CC7" w:rsidRDefault="00E64CC7" w:rsidP="00E64CC7">
      <w:pPr>
        <w:pStyle w:val="NormalWeb"/>
        <w:shd w:val="clear" w:color="auto" w:fill="FCFCFC"/>
        <w:spacing w:line="276" w:lineRule="auto"/>
        <w:rPr>
          <w:color w:val="0D0D0D"/>
        </w:rPr>
      </w:pPr>
      <w:r>
        <w:rPr>
          <w:color w:val="0D0D0D"/>
        </w:rPr>
        <w:t xml:space="preserve">Grâce aux conventions établies avec les organismes certificateurs, La Digithèque devient un centre de préparation officiellement reconnu, bénéficiant d'un accompagnement pédagogique renforcé.</w:t>
      </w:r>
    </w:p>
    <w:p w:rsidR="00E64CC7" w:rsidRPr="00E64CC7" w:rsidRDefault="00E64CC7" w:rsidP="00E64CC7">
      <w:pPr>
        <w:pStyle w:val="NormalWeb"/>
        <w:shd w:val="clear" w:color="auto" w:fill="FCFCFC"/>
        <w:spacing w:before="0" w:after="0" w:line="276" w:lineRule="auto"/>
        <w:rPr>
          <w:color w:val="0D0D0D"/>
        </w:rPr>
      </w:pPr>
      <w:r>
        <w:rPr>
          <w:rStyle w:val="lev"/>
          <w:color w:val="0D0D0D"/>
        </w:rPr>
        <w:t>Phase 3 : Centre d'examen agréé</w:t>
      </w:r>
    </w:p>
    <w:p w:rsidR="00E64CC7" w:rsidRPr="00E64CC7" w:rsidRDefault="00E64CC7" w:rsidP="00E64CC7">
      <w:pPr>
        <w:pStyle w:val="NormalWeb"/>
        <w:shd w:val="clear" w:color="auto" w:fill="FCFCFC"/>
        <w:spacing w:line="276" w:lineRule="auto"/>
        <w:rPr>
          <w:color w:val="0D0D0D"/>
        </w:rPr>
      </w:pPr>
      <w:r>
        <w:rPr>
          <w:color w:val="0D0D0D"/>
        </w:rPr>
        <w:t xml:space="preserve">À plus long terme, l'objectif est d'obtenir les accréditations nécessaires afin d'organiser directement certaines sessions d'examen à Fianarantsoa, sous la supervision des organismes certificateurs </w:t>
        <w:lastRenderedPageBreak/>
        <w:t xml:space="preserve">partenaires. Cette évolution permettra de faciliter l'accès aux certifications internationales pour les apprenants de la région Haute Matsiatra et des régions voisines.</w:t>
      </w:r>
    </w:p>
    <w:p>
      <w:pPr>
        <w:pStyle w:val="Titre1"/>
      </w:pPr>
      <w:r>
        <w:rPr>
          <w:b w:val="0"/>
        </w:rPr>
        <w:t>5. Cahier des charges technique et organisation de l’équipe</w:t>
      </w:r>
    </w:p>
    <w:p>
      <w:r>
        <w:rPr>
          <w:b w:val="0"/>
        </w:rPr>
        <w:t>Cette section complète le cadrage initial en précisant l’organisation de l’équipe de développement et la stack technique retenue pour la plateforme numérique du centre.</w:t>
      </w:r>
    </w:p>
    <w:p>
      <w:pPr>
        <w:pStyle w:val="Titre2"/>
      </w:pPr>
      <w:r>
        <w:rPr>
          <w:b w:val="0"/>
        </w:rPr>
        <w:t>5.1 Équipe de développement</w:t>
      </w:r>
    </w:p>
    <w:p>
      <w:r>
        <w:rPr>
          <w:b w:val="0"/>
        </w:rPr>
        <w:t>L’équipe technique actuelle est composée de 6 personnes :</w:t>
      </w:r>
    </w:p>
    <w:p>
      <w:pPr>
        <w:pStyle w:val="Titre2"/>
      </w:pPr>
      <w:r>
        <w:rPr>
          <w:b w:val="0"/>
        </w:rPr>
        <w:t>5.2 Stack technologique retenue</w:t>
      </w:r>
    </w:p>
    <w:p>
      <w:r>
        <w:rPr>
          <w:b w:val="0"/>
        </w:rPr>
        <w:t>La stack principale retenue pour le développement de la plateforme est la suivante :</w:t>
      </w:r>
    </w:p>
    <w:p>
      <w:pPr>
        <w:pStyle w:val="Titre2"/>
      </w:pPr>
      <w:r>
        <w:rPr>
          <w:b w:val="0"/>
        </w:rPr>
        <w:t>5.3 Principes d’architecture</w:t>
      </w:r>
    </w:p>
    <w:p>
      <w:pPr>
        <w:ind w:left="283"/>
      </w:pPr>
      <w:r>
        <w:rPr>
          <w:b w:val="0"/>
        </w:rPr>
        <w:t>• Séparation claire entre le front-end Next.js et les services back-end exposés par FastAPI.</w:t>
      </w:r>
    </w:p>
    <w:p>
      <w:pPr>
        <w:ind w:left="283"/>
      </w:pPr>
      <w:r>
        <w:rPr>
          <w:b w:val="0"/>
        </w:rPr>
        <w:t>• API sécurisées pour la gestion des utilisateurs, abonnements, droits d’accès et données de progression.</w:t>
      </w:r>
    </w:p>
    <w:p>
      <w:pPr>
        <w:ind w:left="283"/>
      </w:pPr>
      <w:r>
        <w:rPr>
          <w:b w:val="0"/>
        </w:rPr>
        <w:t>• Architecture modulaire permettant d’intégrer ou de remplacer des services IA sans refonte globale.</w:t>
      </w:r>
    </w:p>
    <w:p>
      <w:pPr>
        <w:ind w:left="283"/>
      </w:pPr>
      <w:r>
        <w:rPr>
          <w:b w:val="0"/>
        </w:rPr>
        <w:t>• Interface responsive adaptée aux postes du centre et aux usages en ligne.</w:t>
      </w:r>
    </w:p>
    <w:p>
      <w:pPr>
        <w:ind w:left="283"/>
      </w:pPr>
      <w:r>
        <w:rPr>
          <w:b w:val="0"/>
        </w:rPr>
        <w:t>• Sauvegarde régulière et sécurisation des données.</w:t>
      </w:r>
    </w:p>
    <w:p>
      <w:pPr>
        <w:ind w:left="283"/>
      </w:pPr>
      <w:r>
        <w:rPr>
          <w:b w:val="0"/>
        </w:rPr>
        <w:t>• Prévoir un fonctionnement dégradé ou local pour certains contenus en cas de coupure de connexion, conformément au cadrage initial.</w:t>
      </w:r>
    </w:p>
    <w:p>
      <w:pPr>
        <w:pStyle w:val="Titre2"/>
      </w:pPr>
      <w:r>
        <w:rPr>
          <w:b w:val="0"/>
        </w:rPr>
        <w:t>5.4 Fonctionnalités numériques attendues</w:t>
      </w:r>
    </w:p>
    <w:p>
      <w:pPr>
        <w:ind w:left="283"/>
      </w:pPr>
      <w:r>
        <w:rPr>
          <w:b w:val="0"/>
        </w:rPr>
        <w:t>• Création et gestion des comptes apprenants.</w:t>
      </w:r>
    </w:p>
    <w:p>
      <w:pPr>
        <w:ind w:left="283"/>
      </w:pPr>
      <w:r>
        <w:rPr>
          <w:b w:val="0"/>
        </w:rPr>
        <w:t>• Gestion des niveaux, objectifs et parcours d’apprentissage.</w:t>
      </w:r>
    </w:p>
    <w:p>
      <w:pPr>
        <w:ind w:left="283"/>
      </w:pPr>
      <w:r>
        <w:rPr>
          <w:b w:val="0"/>
        </w:rPr>
        <w:t>• Gestion des formules d’abonnement et des droits d’accès.</w:t>
      </w:r>
    </w:p>
    <w:p>
      <w:pPr>
        <w:ind w:left="283"/>
      </w:pPr>
      <w:r>
        <w:rPr>
          <w:b w:val="0"/>
        </w:rPr>
        <w:t>• Diagnostic initial et orientation vers un parcours adapté.</w:t>
      </w:r>
    </w:p>
    <w:p>
      <w:pPr>
        <w:ind w:left="283"/>
      </w:pPr>
      <w:r>
        <w:rPr>
          <w:b w:val="0"/>
        </w:rPr>
        <w:t>• Accès aux exercices, contenus audio/vidéo et activités interactives.</w:t>
      </w:r>
    </w:p>
    <w:p>
      <w:pPr>
        <w:ind w:left="283"/>
      </w:pPr>
      <w:r>
        <w:rPr>
          <w:b w:val="0"/>
        </w:rPr>
        <w:t>• Intégration des fonctionnalités IA : conversation, correction, prononciation, génération d’exercices et personnalisation.</w:t>
      </w:r>
    </w:p>
    <w:p>
      <w:pPr>
        <w:ind w:left="283"/>
      </w:pPr>
      <w:r>
        <w:rPr>
          <w:b w:val="0"/>
        </w:rPr>
        <w:t>• Tableau de bord de progression pour l’apprenant et le formateur.</w:t>
      </w:r>
    </w:p>
    <w:p>
      <w:pPr>
        <w:ind w:left="283"/>
      </w:pPr>
      <w:r>
        <w:rPr>
          <w:b w:val="0"/>
        </w:rPr>
        <w:t>• Réservation et gestion des ateliers de conversation.</w:t>
      </w:r>
    </w:p>
    <w:p>
      <w:pPr>
        <w:ind w:left="283"/>
      </w:pPr>
      <w:r>
        <w:rPr>
          <w:b w:val="0"/>
        </w:rPr>
        <w:t>• Gestion administrative et suivi des abonnements.</w:t>
      </w:r>
    </w:p>
    <w:p>
      <w:pPr>
        <w:ind w:left="283"/>
      </w:pPr>
      <w:r>
        <w:rPr>
          <w:b w:val="0"/>
        </w:rPr>
        <w:t>• Statistiques et indicateurs de progression.</w:t>
      </w:r>
    </w:p>
    <w:p>
      <w:pPr>
        <w:pStyle w:val="Titre2"/>
      </w:pPr>
      <w:r>
        <w:rPr>
          <w:b w:val="0"/>
        </w:rPr>
        <w:t>5.5 Organisation du développement</w:t>
      </w:r>
    </w:p>
    <w:p>
      <w:r>
        <w:rPr>
          <w:b w:val="0"/>
        </w:rPr>
        <w:t>Le développement sera conduit de manière itérative. Le chef de projet assure la coordination et la priorisation. Les deux développeurs Full-Stack portent le socle applicatif. Le stagiaire développeur intervient sur des tâches encadrées. Le stagiaire AI Engineer travaille sur les composants IA et leur intégration. Le Mathématicien contribue aux volets analytiques, statistiques et d’évaluation.</w:t>
      </w:r>
    </w:p>
    <w:p>
      <w:pPr>
        <w:pStyle w:val="Titre2"/>
      </w:pPr>
      <w:r>
        <w:rPr>
          <w:b w:val="0"/>
        </w:rPr>
        <w:t>5.6 Livrables techniques</w:t>
      </w:r>
    </w:p>
    <w:p>
      <w:pPr>
        <w:ind w:left="283"/>
      </w:pPr>
      <w:r>
        <w:rPr>
          <w:b w:val="0"/>
        </w:rPr>
        <w:t>• Application web front-end développée avec Next.js.</w:t>
      </w:r>
    </w:p>
    <w:p>
      <w:pPr>
        <w:ind w:left="283"/>
      </w:pPr>
      <w:r>
        <w:rPr>
          <w:b w:val="0"/>
        </w:rPr>
        <w:t>• API back-end développées avec FastAPI.</w:t>
      </w:r>
    </w:p>
    <w:p>
      <w:pPr>
        <w:ind w:left="283"/>
      </w:pPr>
      <w:r>
        <w:rPr>
          <w:b w:val="0"/>
        </w:rPr>
        <w:t>• Base de données et modèles nécessaires au fonctionnement du centre.</w:t>
      </w:r>
    </w:p>
    <w:p>
      <w:pPr>
        <w:ind w:left="283"/>
      </w:pPr>
      <w:r>
        <w:rPr>
          <w:b w:val="0"/>
        </w:rPr>
        <w:t>• Modules d’authentification, de gestion des utilisateurs et des abonnements.</w:t>
      </w:r>
    </w:p>
    <w:p>
      <w:pPr>
        <w:ind w:left="283"/>
      </w:pPr>
      <w:r>
        <w:rPr>
          <w:b w:val="0"/>
        </w:rPr>
        <w:t>• Tableaux de bord de suivi de progression.</w:t>
      </w:r>
    </w:p>
    <w:p>
      <w:pPr>
        <w:ind w:left="283"/>
      </w:pPr>
      <w:r>
        <w:rPr>
          <w:b w:val="0"/>
        </w:rPr>
        <w:t>• Intégration des fonctionnalités IA retenues.</w:t>
      </w:r>
    </w:p>
    <w:p>
      <w:pPr>
        <w:ind w:left="283"/>
      </w:pPr>
      <w:r>
        <w:rPr>
          <w:b w:val="0"/>
        </w:rPr>
        <w:t>• Documentation technique et fonctionnelle.</w:t>
      </w:r>
    </w:p>
    <w:p>
      <w:pPr>
        <w:ind w:left="283"/>
      </w:pPr>
      <w:r>
        <w:rPr>
          <w:b w:val="0"/>
        </w:rPr>
        <w:t>• Procédures de déploiement, sauvegarde, maintenance et supervision.</w:t>
      </w:r>
    </w:p>
    <w:p>
      <w:pPr>
        <w:ind w:left="283"/>
      </w:pPr>
      <w:r>
        <w:rPr>
          <w:b w:val="0"/>
        </w:rPr>
        <w:t>• Tests fonctionnels et techniques avant mise en production.</w:t>
      </w:r>
    </w:p>
    <w:p w:rsidR="00833D93" w:rsidRPr="0080185E" w:rsidRDefault="00591397" w:rsidP="009143F0">
      <w:pPr>
        <w:pStyle w:val="Titre1"/>
        <w:spacing w:before="320" w:after="160" w:line="276" w:lineRule="auto"/>
        <w:rPr>
          <w:sz w:val="28"/>
          <w:szCs w:val="24"/>
        </w:rPr>
      </w:pPr>
      <w:r>
        <w:rPr>
          <w:rFonts w:eastAsia="Calibri"/>
          <w:b/>
          <w:bCs/>
          <w:color w:val="1F4E79"/>
          <w:sz w:val="28"/>
          <w:szCs w:val="24"/>
        </w:rPr>
        <w:t>5. Architecture technique et fonctionnement du centre</w:t>
      </w:r>
    </w:p>
    <w:p w:rsidR="00833D93" w:rsidRPr="009143F0" w:rsidRDefault="00591397" w:rsidP="009143F0">
      <w:pPr>
        <w:pStyle w:val="Titre2"/>
        <w:spacing w:before="240" w:after="140" w:line="276" w:lineRule="auto"/>
        <w:rPr>
          <w:sz w:val="24"/>
          <w:szCs w:val="24"/>
        </w:rPr>
      </w:pPr>
      <w:r>
        <w:rPr>
          <w:rFonts w:eastAsia="Calibri"/>
          <w:b/>
          <w:bCs/>
          <w:sz w:val="24"/>
          <w:szCs w:val="24"/>
        </w:rPr>
        <w:t>5.1 Parcours utilisateur</w:t>
      </w:r>
    </w:p>
    <w:p w:rsidR="00833D93" w:rsidRPr="009143F0" w:rsidRDefault="00591397" w:rsidP="009143F0">
      <w:pPr>
        <w:spacing w:after="200" w:line="276" w:lineRule="auto"/>
        <w:rPr>
          <w:sz w:val="24"/>
          <w:szCs w:val="24"/>
        </w:rPr>
      </w:pPr>
      <w:r>
        <w:rPr>
          <w:rFonts w:eastAsia="Calibri"/>
          <w:sz w:val="24"/>
          <w:szCs w:val="24"/>
        </w:rPr>
        <w:t>Le fonctionnement technique du centre repose sur un système d'abonnement et d'accès sécurisé aux ressources numériques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Inscription et souscription : l'utilisateur choisit une formule d'abonnement et s'inscrit à l'accueil ou en ligne.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Création d'un identifiant unique (login + mot de passe) lié à son profil, son niveau et sa formule choisie.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Connexion sur site : l'utilisateur se connecte aux ordinateurs du centre avec son identifiant, qui débloque l'accès à la base de données pédagogique du centre (exercices, tests, contenus audio/vidéo, suivi de progression), avec des droits d'accès dépendant de la formule souscrite (nombre d'heures, langues disponibles, accès aux ateliers).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Utilisation des modules IA en autonomie, selon le parcours personnalisé généré par la plateforme.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Participation aux ateliers humains, sur réservation via la même plateforme, selon le quota inclus dans l'abonnement.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Suivi de progression consultable à tout moment par l'apprenant, transmis automatiquement au formateur référent avant chaque atelier.</w:t>
      </w:r>
    </w:p>
    <w:p w:rsidR="00833D93" w:rsidRPr="009143F0" w:rsidRDefault="00591397" w:rsidP="009143F0">
      <w:pPr>
        <w:spacing w:after="200" w:line="276" w:lineRule="auto"/>
        <w:rPr>
          <w:sz w:val="24"/>
          <w:szCs w:val="24"/>
        </w:rPr>
      </w:pPr>
      <w:r>
        <w:rPr>
          <w:rFonts w:eastAsia="Calibri"/>
          <w:sz w:val="24"/>
          <w:szCs w:val="24"/>
        </w:rPr>
        <w:t>Le système d'information central du centre doit permettre : la gestion des identifiants et des droits d'accès, la facturation et le suivi des abonnements, la centralisation des données de progression, et une sauvegarde régulière et sécurisée de la base de données.</w:t>
      </w:r>
    </w:p>
    <w:p w:rsidR="00833D93" w:rsidRPr="009143F0" w:rsidRDefault="00591397" w:rsidP="009143F0">
      <w:pPr>
        <w:pStyle w:val="Titre2"/>
        <w:spacing w:before="240" w:after="140" w:line="276" w:lineRule="auto"/>
        <w:rPr>
          <w:sz w:val="24"/>
          <w:szCs w:val="24"/>
        </w:rPr>
      </w:pPr>
      <w:r>
        <w:rPr>
          <w:rFonts w:eastAsia="Calibri"/>
          <w:b/>
          <w:bCs/>
          <w:sz w:val="24"/>
          <w:szCs w:val="24"/>
        </w:rPr>
        <w:t>5.2 Frais de cours et frais d'examen officiel : deux postes distincts</w:t>
      </w:r>
    </w:p>
    <w:p w:rsidR="00833D93" w:rsidRPr="009143F0" w:rsidRDefault="00591397" w:rsidP="009143F0">
      <w:pPr>
        <w:spacing w:after="200" w:line="276" w:lineRule="auto"/>
        <w:rPr>
          <w:sz w:val="24"/>
          <w:szCs w:val="24"/>
        </w:rPr>
      </w:pPr>
      <w:r>
        <w:rPr>
          <w:rFonts w:eastAsia="Calibri"/>
          <w:sz w:val="24"/>
          <w:szCs w:val="24"/>
        </w:rPr>
        <w:t>Il est essentiel de distinguer clairement, aussi bien dans la communication aux apprenants que dans la gestion financière du centre, deux types de frais qui n'ont ni la même nature ni le même bénéficiaire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 xml:space="preserve">Le prix du cours au centre (montant à définir selon l'étude de marché locale) couvre l'accès à la plateforme IA, la participation aux ateliers avec les formateurs, le suivi pédagogique personnalisé et la préparation à l'examen visé.</w:t>
      </w:r>
    </w:p>
    <w:p w:rsidR="00833D93" w:rsidRPr="003E02F1" w:rsidRDefault="00591397" w:rsidP="009143F0">
      <w:pPr>
        <w:pStyle w:val="Paragraphedeliste"/>
        <w:numPr>
          <w:ilvl w:val="0"/>
          <w:numId w:val="2"/>
        </w:numPr>
        <w:spacing w:after="120" w:line="276" w:lineRule="auto"/>
        <w:rPr>
          <w:sz w:val="24"/>
          <w:szCs w:val="24"/>
        </w:rPr>
      </w:pPr>
      <w:r>
        <w:rPr>
          <w:rFonts w:eastAsia="Calibri"/>
          <w:sz w:val="24"/>
          <w:szCs w:val="24"/>
        </w:rPr>
        <w:t>Les frais d'examen officiel sont exigés séparément par l'organisme certificateur international compétent pour chaque langue (Alliance Française/Institut Français pour le DELF/DALF, British Council ou centres agréés pour l'IELTS/TOEFL/TOEIC, Institut Confucius pour le HSK/HSKK, Goethe-Institut pour le Goethe-Zertifikat/TestDaF, centres CILS/CELI/PLIDA pour l'italien), et couvrent l'inscription et le passage effectif du diplôme international.</w:t>
      </w:r>
    </w:p>
    <w:p w:rsidR="003E02F1" w:rsidRPr="009143F0" w:rsidRDefault="003E02F1" w:rsidP="003E02F1">
      <w:pPr>
        <w:pStyle w:val="Paragraphedeliste"/>
        <w:spacing w:after="120" w:line="276" w:lineRule="auto"/>
        <w:ind w:left="460"/>
        <w:rPr>
          <w:sz w:val="24"/>
          <w:szCs w:val="24"/>
        </w:rPr>
      </w:pPr>
    </w:p>
    <w:p w:rsidR="003E02F1" w:rsidRPr="003E02F1" w:rsidRDefault="00591397" w:rsidP="003E02F1">
      <w:pPr>
        <w:pBdr>
          <w:left w:val="single" w:sz="12" w:space="8" w:color="2E74B5"/>
        </w:pBdr>
        <w:spacing w:after="200" w:line="276" w:lineRule="auto"/>
        <w:ind w:left="288"/>
        <w:rPr>
          <w:rFonts w:eastAsia="Calibri"/>
          <w:i/>
          <w:iCs/>
          <w:sz w:val="24"/>
          <w:szCs w:val="24"/>
        </w:rPr>
      </w:pPr>
      <w:r>
        <w:rPr>
          <w:rFonts w:eastAsia="Calibri"/>
          <w:i/>
          <w:iCs/>
          <w:sz w:val="24"/>
          <w:szCs w:val="24"/>
        </w:rPr>
        <w:lastRenderedPageBreak/>
        <w:t>Cette distinction doit être communiquée de façon transparente dès l'inscription : l'abonnement au centre prépare à la certification mais ne l'inclut pas. Le centre facilite l'inscription aux sessions d'examen dans le cadre des partenariats institutionnels décrits en section 4, sans se substituer financièrement à l'organisme certificateur.</w:t>
      </w:r>
    </w:p>
    <w:p w:rsidR="003E02F1" w:rsidRDefault="003E02F1" w:rsidP="009143F0">
      <w:pPr>
        <w:pStyle w:val="Titre1"/>
        <w:spacing w:before="320" w:after="160" w:line="276" w:lineRule="auto"/>
        <w:rPr>
          <w:rFonts w:eastAsia="Calibri"/>
          <w:b/>
          <w:bCs/>
          <w:color w:val="2E74B5" w:themeColor="accent1" w:themeShade="BF"/>
          <w:sz w:val="24"/>
          <w:szCs w:val="24"/>
        </w:rPr>
      </w:pPr>
      <w:r>
        <w:rPr>
          <w:rFonts w:eastAsia="Calibri"/>
          <w:b/>
          <w:bCs/>
          <w:color w:val="2E74B5" w:themeColor="accent1" w:themeShade="BF"/>
          <w:sz w:val="24"/>
          <w:szCs w:val="24"/>
        </w:rPr>
        <w:t xml:space="preserve">5.3 Durée d’apprentissage </w:t>
      </w:r>
    </w:p>
    <w:p w:rsidR="00DD1B82" w:rsidRDefault="00DD1B82" w:rsidP="00DD1B82">
      <w:pPr>
        <w:pStyle w:val="font-claude-response-body"/>
        <w:shd w:val="clear" w:color="auto" w:fill="F9F9F7"/>
        <w:spacing w:before="0" w:beforeAutospacing="0" w:after="0" w:afterAutospacing="0" w:line="276" w:lineRule="auto"/>
        <w:rPr>
          <w:color w:val="0B0B0B"/>
        </w:rPr>
      </w:pPr>
      <w:r>
        <w:rPr>
          <w:color w:val="0B0B0B"/>
        </w:rPr>
        <w:t>La durée nécessaire pour progresser dans une langue dépend avant tout de la régularité de l'apprenant et du niveau visé, plus que de la plateforme elle-même. À titre indicatif, les plateformes IA envisagées recommandent toutes un temps d'usage quotidien court mais régulier (10 à 20 minutes par jour), pour une progression optimale.</w:t>
      </w:r>
    </w:p>
    <w:p w:rsidR="00DD1B82" w:rsidRPr="00DD1B82" w:rsidRDefault="00DD1B82" w:rsidP="00DD1B82">
      <w:pPr>
        <w:pStyle w:val="font-claude-response-body"/>
        <w:shd w:val="clear" w:color="auto" w:fill="F9F9F7"/>
        <w:spacing w:before="0" w:beforeAutospacing="0" w:after="0" w:afterAutospacing="0" w:line="276" w:lineRule="auto"/>
        <w:rPr>
          <w:color w:val="0B0B0B"/>
        </w:rPr>
      </w:pPr>
    </w:p>
    <w:p w:rsidR="00DD1B82" w:rsidRPr="00837888" w:rsidRDefault="00DD1B82" w:rsidP="00837888">
      <w:pPr>
        <w:pStyle w:val="font-claude-response-body"/>
        <w:shd w:val="clear" w:color="auto" w:fill="F9F9F7"/>
        <w:spacing w:before="0" w:beforeAutospacing="0" w:after="0" w:afterAutospacing="0" w:line="276" w:lineRule="auto"/>
        <w:rPr>
          <w:color w:val="0B0B0B"/>
        </w:rPr>
      </w:pPr>
      <w:r>
        <w:rPr>
          <w:color w:val="0B0B0B"/>
        </w:rPr>
        <w:t>Ces estimations rejoignent les repères du Cadre européen commun de référence pour les langues (CECRL), qui évalue généralement entre 100 et 250 heures le temps nécessaire pour passer d'un niveau au niveau supérieur, ce volume variant selon la proximité entre la langue maternelle de l'apprenant et la langue cible. Cette donnée confirme la pertinence du modèle hybride retenu pour le centre : utilisée seule, l'intelligence artificielle ne garantit pas une progression rapide, mais combinée aux ateliers de conversation encadrés par des formateurs, elle permet d'accélérer significativement l'acquisition d'un niveau réellement communicatif.</w:t>
      </w:r>
    </w:p>
    <w:p w:rsidR="00833D93" w:rsidRPr="0080185E" w:rsidRDefault="00591397" w:rsidP="009143F0">
      <w:pPr>
        <w:pStyle w:val="Titre1"/>
        <w:spacing w:before="320" w:after="160" w:line="276" w:lineRule="auto"/>
        <w:rPr>
          <w:sz w:val="28"/>
          <w:szCs w:val="24"/>
        </w:rPr>
      </w:pPr>
      <w:r>
        <w:rPr>
          <w:rFonts w:eastAsia="Calibri"/>
          <w:b/>
          <w:bCs/>
          <w:color w:val="1F4E79"/>
          <w:sz w:val="28"/>
          <w:szCs w:val="24"/>
        </w:rPr>
        <w:t>6. Feuille de route stratégique du projet</w:t>
      </w:r>
    </w:p>
    <w:p w:rsidR="00833D93" w:rsidRDefault="00591397" w:rsidP="009143F0">
      <w:pPr>
        <w:spacing w:after="200" w:line="276" w:lineRule="auto"/>
        <w:rPr>
          <w:rFonts w:eastAsia="Calibri"/>
          <w:sz w:val="24"/>
          <w:szCs w:val="24"/>
        </w:rPr>
      </w:pPr>
      <w:r>
        <w:rPr>
          <w:rFonts w:eastAsia="Calibri"/>
          <w:sz w:val="24"/>
          <w:szCs w:val="24"/>
        </w:rPr>
        <w:t>Le projet se déploie en six phases séquentielles, chacune conditionnant le passage à la suivante : préparation des infrastructures, structuration pédagogique, sécurisation des partenariats institutionnels, puis lancement commercial et consolidation. Toutes les démarches liées aux trois premières phases (aménagement, partenariats, plateforme IA, recrutement) débutent dès le mois d'août, en vue d'une ouverture des inscriptions en août et d'une rentrée effective en septembre.</w:t>
      </w:r>
    </w:p>
    <w:p w:rsidR="0080185E" w:rsidRPr="009143F0" w:rsidRDefault="0080185E" w:rsidP="009143F0">
      <w:pPr>
        <w:spacing w:after="200" w:line="276" w:lineRule="auto"/>
        <w:rPr>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20"/>
        <w:gridCol w:w="5430"/>
      </w:tblGrid>
      <w:tr w:rsidR="00833D93" w:rsidRPr="009143F0">
        <w:trPr>
          <w:tblHeader/>
        </w:trPr>
        <w:tc>
          <w:tcPr>
            <w:tcW w:w="70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Phase</w:t>
            </w:r>
          </w:p>
        </w:tc>
        <w:tc>
          <w:tcPr>
            <w:tcW w:w="315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Intitulé</w:t>
            </w:r>
          </w:p>
        </w:tc>
        <w:tc>
          <w:tcPr>
            <w:tcW w:w="550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Contenu</w:t>
            </w:r>
          </w:p>
        </w:tc>
      </w:tr>
      <w:tr w:rsidR="00833D93" w:rsidRPr="009143F0">
        <w:tc>
          <w:tcPr>
            <w:tcW w:w="7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1</w:t>
            </w:r>
          </w:p>
        </w:tc>
        <w:tc>
          <w:tcPr>
            <w:tcW w:w="31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Préparation &amp; installation (dès août)</w:t>
            </w:r>
          </w:p>
        </w:tc>
        <w:tc>
          <w:tcPr>
            <w:tcW w:w="55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Aménagement du local, équipement informatique, acquisition des licences IA (souscription Talkpal ou autre plateforme), recrutement de l'équipe pédagogique</w:t>
            </w:r>
          </w:p>
        </w:tc>
      </w:tr>
      <w:tr w:rsidR="00833D93" w:rsidRPr="009143F0">
        <w:tc>
          <w:tcPr>
            <w:tcW w:w="7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2</w:t>
            </w:r>
          </w:p>
        </w:tc>
        <w:tc>
          <w:tcPr>
            <w:tcW w:w="31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Structuration pédagogique (dès août)</w:t>
            </w:r>
          </w:p>
        </w:tc>
        <w:tc>
          <w:tcPr>
            <w:tcW w:w="55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Paramétrage des plateformes IA, conception des parcours par niveau, formation des formateurs, tests internes</w:t>
            </w:r>
          </w:p>
        </w:tc>
      </w:tr>
      <w:tr w:rsidR="00833D93" w:rsidRPr="009143F0">
        <w:tc>
          <w:tcPr>
            <w:tcW w:w="7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3</w:t>
            </w:r>
          </w:p>
        </w:tc>
        <w:tc>
          <w:tcPr>
            <w:tcW w:w="31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Partenariats institutionnels (dès août)</w:t>
            </w:r>
          </w:p>
        </w:tc>
        <w:tc>
          <w:tcPr>
            <w:tcW w:w="55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Démarchage et signature des conventions avec consulats et centres culturels, reconnaissance des certifications</w:t>
            </w:r>
          </w:p>
        </w:tc>
      </w:tr>
      <w:tr w:rsidR="00833D93" w:rsidRPr="009143F0">
        <w:tc>
          <w:tcPr>
            <w:tcW w:w="7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4</w:t>
            </w:r>
          </w:p>
        </w:tc>
        <w:tc>
          <w:tcPr>
            <w:tcW w:w="31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Ouverture des inscriptions (août) et lancement </w:t>
              <w:lastRenderedPageBreak/>
              <w:t>commercial (rentrée de septembre)</w:t>
            </w:r>
          </w:p>
        </w:tc>
        <w:tc>
          <w:tcPr>
            <w:tcW w:w="55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lastRenderedPageBreak/>
              <w:t>Campagne marketing, ouverture des inscriptions en août, rentrée effective et démarrage des cours en septembre, premières cohortes d'apprenants</w:t>
            </w:r>
          </w:p>
        </w:tc>
      </w:tr>
      <w:tr w:rsidR="00833D93" w:rsidRPr="009143F0">
        <w:tc>
          <w:tcPr>
            <w:tcW w:w="7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lastRenderedPageBreak/>
              <w:t>5</w:t>
            </w:r>
          </w:p>
        </w:tc>
        <w:tc>
          <w:tcPr>
            <w:tcW w:w="31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Consolidation &amp; fidélisation</w:t>
            </w:r>
          </w:p>
        </w:tc>
        <w:tc>
          <w:tcPr>
            <w:tcW w:w="55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Suivi de la satisfaction, ajustement de l'offre, premières sessions de certification, retours d'expérience</w:t>
            </w:r>
          </w:p>
        </w:tc>
      </w:tr>
      <w:tr w:rsidR="00833D93" w:rsidRPr="009143F0">
        <w:tc>
          <w:tcPr>
            <w:tcW w:w="7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6</w:t>
            </w:r>
          </w:p>
        </w:tc>
        <w:tc>
          <w:tcPr>
            <w:tcW w:w="31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Extension &amp; diversification</w:t>
            </w:r>
          </w:p>
        </w:tc>
        <w:tc>
          <w:tcPr>
            <w:tcW w:w="55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Ouverture de nouvelles langues/niveaux, extension à d'autres publics (entreprises, écoles), réplication du modèle dans d'autres villes</w:t>
            </w:r>
          </w:p>
        </w:tc>
      </w:tr>
    </w:tbl>
    <w:p w:rsidR="00833D93" w:rsidRPr="009143F0" w:rsidRDefault="00591397" w:rsidP="009143F0">
      <w:pPr>
        <w:spacing w:before="100" w:after="300" w:line="276" w:lineRule="auto"/>
        <w:rPr>
          <w:sz w:val="24"/>
          <w:szCs w:val="24"/>
        </w:rPr>
      </w:pPr>
      <w:r>
        <w:rPr>
          <w:rFonts w:eastAsia="Calibri"/>
          <w:i/>
          <w:iCs/>
          <w:color w:val="555555"/>
          <w:sz w:val="24"/>
          <w:szCs w:val="24"/>
        </w:rPr>
        <w:t>Table 3 – Feuille de route par phase</w:t>
      </w:r>
    </w:p>
    <w:p w:rsidR="00833D93" w:rsidRPr="009143F0" w:rsidRDefault="00591397" w:rsidP="009143F0">
      <w:pPr>
        <w:spacing w:after="200" w:line="276" w:lineRule="auto"/>
        <w:rPr>
          <w:sz w:val="24"/>
          <w:szCs w:val="24"/>
        </w:rPr>
      </w:pPr>
      <w:r>
        <w:rPr>
          <w:rFonts w:eastAsia="Calibri"/>
          <w:sz w:val="24"/>
          <w:szCs w:val="24"/>
        </w:rPr>
        <w:t>Au-delà du calendrier de lancement fixé pour août-septembre, l'enchaînement des phases suivantes reste conditionné par l'atteinte des jalons de chaque étape (validation technique, signature effective des partenariats, seuil d'inscriptions minimal, etc.).</w:t>
      </w:r>
    </w:p>
    <w:p w:rsidR="00833D93" w:rsidRPr="0046638E" w:rsidRDefault="00591397" w:rsidP="009143F0">
      <w:pPr>
        <w:pStyle w:val="Titre1"/>
        <w:spacing w:before="320" w:after="160" w:line="276" w:lineRule="auto"/>
        <w:rPr>
          <w:sz w:val="28"/>
          <w:szCs w:val="24"/>
        </w:rPr>
      </w:pPr>
      <w:r>
        <w:rPr>
          <w:rFonts w:eastAsia="Calibri"/>
          <w:b/>
          <w:bCs/>
          <w:color w:val="1F4E79"/>
          <w:sz w:val="28"/>
          <w:szCs w:val="24"/>
        </w:rPr>
        <w:t>7. Stratégie de prospection commerciale</w:t>
      </w:r>
    </w:p>
    <w:p w:rsidR="00833D93" w:rsidRPr="009143F0" w:rsidRDefault="00591397" w:rsidP="009143F0">
      <w:pPr>
        <w:spacing w:after="200" w:line="276" w:lineRule="auto"/>
        <w:rPr>
          <w:sz w:val="24"/>
          <w:szCs w:val="24"/>
        </w:rPr>
      </w:pPr>
      <w:r>
        <w:rPr>
          <w:rFonts w:eastAsia="Calibri"/>
          <w:sz w:val="24"/>
          <w:szCs w:val="24"/>
        </w:rPr>
        <w:t>La prospection vise à construire un vivier d'apprenants avant même l'ouverture officielle, puis à assurer un flux constant de nouvelles inscriptions. Un objectif indicatif de pré-inscriptions sera fixé avant le lancement officiel (à préciser selon la capacité d'accueil du centre), afin de disposer d'un indicateur clair de succès dès la Phase 3 de la feuille de route.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Cartographie des cibles prioritaires : lycéens et étudiants (universités et grandes écoles de Fianarantsoa), jeunes professionnels, candidats à la mobilité internationale (bourses, concours, visas étudiants), entreprises et ONG locales ayant des besoins linguistiques pour leur personnel.</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Partenariats avec les établissements scolaires et universitaires : présentations du centre, offres découverte pour les classes, conventions de préparation aux certifications pour les filières concernées.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Prospection directe : visite des établissements, des entreprises et organisations locales, prise de rendez-vous avec les responsables RH et directions pédagogiques.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Programme d'ambassadeurs : apprenants satisfaits et formateurs partenaires relayant le centre auprès de leur réseau, avec avantages de parrainage.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Suivi commercial structuré : constitution d'une base de prospects (CRM simple), relances personnalisées, indicateurs de conversion (taux de transformation prospect → abonné), reporté à la direction générale.</w:t>
      </w:r>
    </w:p>
    <w:p w:rsidR="00833D93" w:rsidRPr="0046638E" w:rsidRDefault="00591397" w:rsidP="009143F0">
      <w:pPr>
        <w:pStyle w:val="Titre1"/>
        <w:spacing w:before="320" w:after="160" w:line="276" w:lineRule="auto"/>
        <w:rPr>
          <w:sz w:val="28"/>
          <w:szCs w:val="24"/>
        </w:rPr>
      </w:pPr>
      <w:r>
        <w:rPr>
          <w:rFonts w:eastAsia="Calibri"/>
          <w:b/>
          <w:bCs/>
          <w:color w:val="1F4E79"/>
          <w:sz w:val="28"/>
          <w:szCs w:val="24"/>
        </w:rPr>
        <w:t>8. Stratégie et campagne marketing</w:t>
      </w:r>
    </w:p>
    <w:p w:rsidR="00833D93" w:rsidRPr="009143F0" w:rsidRDefault="00591397" w:rsidP="009143F0">
      <w:pPr>
        <w:spacing w:after="200" w:line="276" w:lineRule="auto"/>
        <w:rPr>
          <w:sz w:val="24"/>
          <w:szCs w:val="24"/>
        </w:rPr>
      </w:pPr>
      <w:r>
        <w:rPr>
          <w:rFonts w:eastAsia="Calibri"/>
          <w:sz w:val="24"/>
          <w:szCs w:val="24"/>
        </w:rPr>
        <w:t xml:space="preserve">La stratégie marketing vise à faire connaître le centre auprès du public cible dès la phase de lancement, puis à construire une notoriété durable à Fianarantsoa, en cohérence avec l'image de modernité et de sérieux portée par La Digithèque. Elle s'appuie sur une combinaison de communication digitale, d'ancrage local et d'événements, détaillée ci-dessous.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lastRenderedPageBreak/>
        <w:t>Positionnement : le centre se positionne comme la solution la plus moderne, accessible et efficace de la région pour apprendre une langue et obtenir une certification reconnue, en combinant le meilleur de l'IA et de l'accompagnement humain.</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Communication digitale : présence active sur les réseaux sociaux (Facebook, principal canal à Madagascar), création de contenus pédagogiques courts (astuces de langue, témoignages, coulisses du centre), publicité ciblée géographiquement sur Fianarantsoa et environs.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Communication locale : affichage dans les lieux à forte fréquentation étudiante, partenariats avec les radios locales, distribution de flyers lors d'événements universitaires et culturels.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Événementiel : organisation d'un événement de lancement avec les partenaires consulaires et culturels invités, journées portes ouvertes, participation aux journées culturelles (Francophonie, Nouvel An chinois, etc.).</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Suivi de performance : indicateurs marketing suivis (portée des publications, taux de clics, coût d'acquisition par abonné) pour ajuster la stratégie en continu, en coordination avec la direction générale.</w:t>
      </w:r>
    </w:p>
    <w:p w:rsidR="00833D93" w:rsidRPr="0046638E" w:rsidRDefault="00591397" w:rsidP="009143F0">
      <w:pPr>
        <w:pStyle w:val="Titre1"/>
        <w:spacing w:before="320" w:after="160" w:line="276" w:lineRule="auto"/>
        <w:rPr>
          <w:sz w:val="28"/>
          <w:szCs w:val="24"/>
        </w:rPr>
      </w:pPr>
      <w:r>
        <w:rPr>
          <w:rFonts w:eastAsia="Calibri"/>
          <w:b/>
          <w:bCs/>
          <w:color w:val="1F4E79"/>
          <w:sz w:val="28"/>
          <w:szCs w:val="24"/>
        </w:rPr>
        <w:t>9. Démarchage des partenaires consulaires et culturels</w:t>
      </w:r>
    </w:p>
    <w:p w:rsidR="00833D93" w:rsidRPr="009143F0" w:rsidRDefault="00591397" w:rsidP="009143F0">
      <w:pPr>
        <w:spacing w:after="200" w:line="276" w:lineRule="auto"/>
        <w:rPr>
          <w:sz w:val="24"/>
          <w:szCs w:val="24"/>
        </w:rPr>
      </w:pPr>
      <w:r>
        <w:rPr>
          <w:rFonts w:eastAsia="Calibri"/>
          <w:sz w:val="24"/>
          <w:szCs w:val="24"/>
        </w:rPr>
        <w:t>Le démarchage des consulats et centres culturels est une démarche institutionnelle qui doit être menée avec rigueur et professionnalisme, en parallèle du lancement opérationnel du centre, dès le mois d'août.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Identification des interlocuteurs pertinents : services culturels et de coopération des ambassades concernées, directions de l'Alliance Française, du British Council, de l'Institut Confucius, du Goethe-Institut et de l'Institut Culturel Italien, ou de leurs antennes régionales/nationales.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Prise de contact officielle : courrier formel de présentation du projet, suivi d'une demande de rendez-vous, en s'appuyant si possible sur des relais locaux ou universitaires facilitant l'introduction.</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Rencontres et démonstration : présentation concrète du centre (visite du local, démonstration des outils IA), afin de rassurer les partenaires sur le sérieux et la viabilité du projet.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Négociation des modalités de partenariat : nature de la reconnaissance recherchée (centre de préparation agréé, point d'information, centre d'examen), obligations réciproques, matériel et formations mis à disposition par le partenaire.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Formalisation : signature d'une convention de partenariat précisant les engagements de chaque partie et la durée de validité, avec clause de renouvellement.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Entretien de la relation partenariale : rapports d'activité réguliers transmis aux partenaires, invitation aux événements du centre, participation croisée aux initiatives culturelles, afin de pérenniser et renforcer la collaboration dans la durée.</w:t>
      </w:r>
    </w:p>
    <w:p w:rsidR="008046EF" w:rsidRDefault="00112517">
      <w:pPr>
        <w:spacing w:before="320" w:after="160"/>
      </w:pPr>
      <w:r>
        <w:rPr>
          <w:b/>
          <w:color w:val="1F4E79"/>
          <w:sz w:val="28"/>
        </w:rPr>
        <w:t>10. Étude d'opportunité</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10.1 Contexte et problématique</w:t>
      </w:r>
    </w:p>
    <w:p w:rsidR="008046EF" w:rsidRDefault="00112517" w:rsidP="00FB5F9E">
      <w:pPr>
        <w:spacing w:after="200" w:line="276" w:lineRule="auto"/>
      </w:pPr>
      <w:r>
        <w:rPr>
          <w:sz w:val="24"/>
        </w:rPr>
        <w:t xml:space="preserve">Fianarantsoa concentre une population étudiante et jeune importante, en forte demande de compétences linguistiques valorisables sur le marché de l'emploi local, national et international, sans </w:t>
        <w:lastRenderedPageBreak/>
        <w:t>que l'offre de formation linguistique locale propose aujourd'hui un encadrement pédagogique moderne combiné à une préparation sérieuse aux certifications internationales reconnues.</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10.2 Analyse du marché et de la demande</w:t>
      </w:r>
    </w:p>
    <w:p w:rsidR="008046EF" w:rsidRDefault="00112517" w:rsidP="00FB5F9E">
      <w:pPr>
        <w:spacing w:after="200" w:line="276" w:lineRule="auto"/>
      </w:pPr>
      <w:r>
        <w:rPr>
          <w:sz w:val="24"/>
        </w:rPr>
        <w:t>Le public cible est large et diversifié : lycéens et étudiants des établissements de Fianarantsoa, jeunes professionnels, candidats à la mobilité internationale (bourses, concours, visas étudiants), ainsi que les entreprises et ONG locales ayant des besoins linguistiques pour leur personnel. Cinq langues sont couvertes (français, anglais, mandarin, italien, allemand), chacune adossée à un système de certification internationale reconnu, ce qui élargit la base de clientèle potentielle au-delà d'un public strictement académique.</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10.3 Analyse de l'offre existante</w:t>
      </w:r>
    </w:p>
    <w:p w:rsidR="008046EF" w:rsidRDefault="00112517" w:rsidP="00FB5F9E">
      <w:pPr>
        <w:spacing w:after="200" w:line="276" w:lineRule="auto"/>
      </w:pPr>
      <w:r>
        <w:rPr>
          <w:sz w:val="24"/>
        </w:rPr>
        <w:t>Les alternatives actuelles présentent des limites significatives :</w:t>
      </w:r>
    </w:p>
    <w:p w:rsidR="008046EF" w:rsidRDefault="00112517" w:rsidP="00FB5F9E">
      <w:pPr>
        <w:spacing w:after="120" w:line="276" w:lineRule="auto"/>
      </w:pPr>
      <w:r>
        <w:rPr>
          <w:sz w:val="24"/>
        </w:rPr>
        <w:t>- Les structures linguistiques existantes à Fianarantsoa proposent rarement une préparation structurée aux certifications internationales, obligeant souvent les candidats à se déplacer vers Antananarivo pour préparer ou passer ces examens.</w:t>
      </w:r>
    </w:p>
    <w:p w:rsidR="008046EF" w:rsidRDefault="00112517" w:rsidP="00FB5F9E">
      <w:pPr>
        <w:spacing w:after="120" w:line="276" w:lineRule="auto"/>
      </w:pPr>
      <w:r>
        <w:rPr>
          <w:sz w:val="24"/>
        </w:rPr>
        <w:t>- L'apprentissage autodidacte via des applications grand public manque d'encadrement humain et de reconnaissance institutionnelle.</w:t>
      </w:r>
    </w:p>
    <w:p w:rsidR="008046EF" w:rsidRDefault="00112517" w:rsidP="00FB5F9E">
      <w:pPr>
        <w:spacing w:after="120" w:line="276" w:lineRule="auto"/>
      </w:pPr>
      <w:r>
        <w:rPr>
          <w:sz w:val="24"/>
        </w:rPr>
        <w:t>- Aucun acteur local ne combine actuellement intelligence artificielle conversationnelle et ateliers humains encadrés dans un même dispositif.</w:t>
      </w:r>
    </w:p>
    <w:p w:rsidR="008046EF" w:rsidRDefault="00112517" w:rsidP="00FB5F9E">
      <w:pPr>
        <w:spacing w:after="200" w:line="276" w:lineRule="auto"/>
      </w:pPr>
      <w:r>
        <w:rPr>
          <w:sz w:val="24"/>
        </w:rPr>
        <w:t>Le centre se positionne donc sur un segment non couvert localement : la préparation certifiante hybride, combinant intelligence artificielle et encadrement humain, avec reconnaissance institutionnelle directe.</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10.4 Alignement stratégique</w:t>
      </w:r>
    </w:p>
    <w:p w:rsidR="008046EF" w:rsidRDefault="00112517" w:rsidP="00FB5F9E">
      <w:pPr>
        <w:spacing w:after="200" w:line="276" w:lineRule="auto"/>
      </w:pPr>
      <w:r>
        <w:rPr>
          <w:sz w:val="24"/>
        </w:rPr>
        <w:t xml:space="preserve">Le projet prolonge la mission de coordination des programmes de certification linguistique confiée à La Digithèque et s'inscrit dans le pôle Formations et Philanthropique, en cohérence avec les autres projets menés en parallèle.</w:t>
      </w:r>
    </w:p>
    <w:p w:rsidR="008046EF" w:rsidRDefault="00112517" w:rsidP="00FB5F9E">
      <w:pPr>
        <w:spacing w:before="240" w:after="120" w:line="276" w:lineRule="auto"/>
        <w:rPr>
          <w:b/>
          <w:color w:val="2E74B5" w:themeColor="accent1" w:themeShade="BF"/>
          <w:sz w:val="24"/>
        </w:rPr>
      </w:pPr>
      <w:r>
        <w:rPr>
          <w:b/>
          <w:color w:val="2E74B5" w:themeColor="accent1" w:themeShade="BF"/>
          <w:sz w:val="24"/>
        </w:rPr>
        <w:t>10.5 Analyse SWOT</w:t>
      </w:r>
    </w:p>
    <w:p w:rsidR="00FB5F9E" w:rsidRPr="00FB5F9E" w:rsidRDefault="00FB5F9E" w:rsidP="00FB5F9E">
      <w:pPr>
        <w:spacing w:before="240" w:after="120" w:line="276" w:lineRule="auto"/>
        <w:rPr>
          <w:color w:val="2E74B5" w:themeColor="accent1" w:themeShade="BF"/>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827"/>
        <w:gridCol w:w="4031"/>
      </w:tblGrid>
      <w:tr w:rsidR="008046EF" w:rsidTr="00FB5F9E">
        <w:trPr>
          <w:jc w:val="center"/>
        </w:trPr>
        <w:tc>
          <w:tcPr>
            <w:tcW w:w="1838" w:type="dxa"/>
            <w:shd w:val="clear" w:color="auto" w:fill="FFFFFF" w:themeFill="background1"/>
          </w:tcPr>
          <w:p w:rsidR="008046EF" w:rsidRPr="00FB5F9E" w:rsidRDefault="008046EF" w:rsidP="00FB5F9E">
            <w:pPr>
              <w:spacing w:line="276" w:lineRule="auto"/>
            </w:pPr>
          </w:p>
        </w:tc>
        <w:tc>
          <w:tcPr>
            <w:tcW w:w="3827" w:type="dxa"/>
            <w:shd w:val="clear" w:color="auto" w:fill="1F4E79"/>
          </w:tcPr>
          <w:p w:rsidR="008046EF" w:rsidRDefault="00112517" w:rsidP="00FB5F9E">
            <w:pPr>
              <w:spacing w:line="276" w:lineRule="auto"/>
            </w:pPr>
            <w:r>
              <w:rPr>
                <w:b/>
                <w:color w:val="FFFFFF"/>
                <w:sz w:val="24"/>
              </w:rPr>
              <w:t>Éléments favorables</w:t>
            </w:r>
          </w:p>
        </w:tc>
        <w:tc>
          <w:tcPr>
            <w:tcW w:w="4031" w:type="dxa"/>
            <w:shd w:val="clear" w:color="auto" w:fill="1F4E79"/>
          </w:tcPr>
          <w:p w:rsidR="008046EF" w:rsidRDefault="00112517" w:rsidP="00FB5F9E">
            <w:pPr>
              <w:spacing w:line="276" w:lineRule="auto"/>
            </w:pPr>
            <w:r>
              <w:rPr>
                <w:b/>
                <w:color w:val="FFFFFF"/>
                <w:sz w:val="24"/>
              </w:rPr>
              <w:t>Éléments défavorables</w:t>
            </w:r>
          </w:p>
        </w:tc>
      </w:tr>
      <w:tr w:rsidR="008046EF" w:rsidTr="00FB5F9E">
        <w:trPr>
          <w:jc w:val="center"/>
        </w:trPr>
        <w:tc>
          <w:tcPr>
            <w:tcW w:w="1838" w:type="dxa"/>
            <w:shd w:val="clear" w:color="auto" w:fill="FFFFFF" w:themeFill="background1"/>
          </w:tcPr>
          <w:p w:rsidR="008046EF" w:rsidRPr="00FB5F9E" w:rsidRDefault="00112517" w:rsidP="00FB5F9E">
            <w:pPr>
              <w:spacing w:line="276" w:lineRule="auto"/>
            </w:pPr>
            <w:r>
              <w:rPr>
                <w:b/>
                <w:sz w:val="24"/>
              </w:rPr>
              <w:t>Interne</w:t>
            </w:r>
          </w:p>
        </w:tc>
        <w:tc>
          <w:tcPr>
            <w:tcW w:w="3827" w:type="dxa"/>
          </w:tcPr>
          <w:p w:rsidR="008046EF" w:rsidRDefault="00112517" w:rsidP="00FB5F9E">
            <w:pPr>
              <w:spacing w:line="276" w:lineRule="auto"/>
            </w:pPr>
            <w:r>
              <w:rPr>
                <w:sz w:val="24"/>
              </w:rPr>
              <w:t>Forces : modèle hybride différenciant (IA + humain) ; couverture de cinq langues via une seule plateforme ; local déjà disponible à Andrainjato ; calendrier de lancement clair pour la rentrée de septembre.</w:t>
            </w:r>
          </w:p>
        </w:tc>
        <w:tc>
          <w:tcPr>
            <w:tcW w:w="4031" w:type="dxa"/>
          </w:tcPr>
          <w:p w:rsidR="008046EF" w:rsidRDefault="00112517" w:rsidP="00FB5F9E">
            <w:pPr>
              <w:spacing w:line="276" w:lineRule="auto"/>
            </w:pPr>
            <w:r>
              <w:rPr>
                <w:sz w:val="24"/>
              </w:rPr>
              <w:t xml:space="preserve">Faiblesses : besoin de recruter des formateurs natifs/certifiés pour cinq langues ; dépendance à une connexion internet stable dans un contexte de délestage ; investissement initial significatif.</w:t>
            </w:r>
          </w:p>
        </w:tc>
      </w:tr>
      <w:tr w:rsidR="008046EF" w:rsidTr="00FB5F9E">
        <w:trPr>
          <w:jc w:val="center"/>
        </w:trPr>
        <w:tc>
          <w:tcPr>
            <w:tcW w:w="1838" w:type="dxa"/>
            <w:shd w:val="clear" w:color="auto" w:fill="FFFFFF" w:themeFill="background1"/>
          </w:tcPr>
          <w:p w:rsidR="008046EF" w:rsidRPr="00FB5F9E" w:rsidRDefault="00112517" w:rsidP="00FB5F9E">
            <w:pPr>
              <w:spacing w:line="276" w:lineRule="auto"/>
            </w:pPr>
            <w:r>
              <w:rPr>
                <w:b/>
                <w:sz w:val="24"/>
              </w:rPr>
              <w:t>Externe</w:t>
            </w:r>
          </w:p>
        </w:tc>
        <w:tc>
          <w:tcPr>
            <w:tcW w:w="3827" w:type="dxa"/>
          </w:tcPr>
          <w:p w:rsidR="008046EF" w:rsidRDefault="00112517" w:rsidP="00FB5F9E">
            <w:pPr>
              <w:spacing w:line="276" w:lineRule="auto"/>
            </w:pPr>
            <w:r>
              <w:rPr>
                <w:sz w:val="24"/>
              </w:rPr>
              <w:t xml:space="preserve">Opportunités : partenariats consulaires et culturels mobilisables ; forte demande de mobilité académique et professionnelle vers </w:t>
              <w:lastRenderedPageBreak/>
              <w:t>plusieurs zones géographiques ; positionnement de précurseur régional.</w:t>
            </w:r>
          </w:p>
        </w:tc>
        <w:tc>
          <w:tcPr>
            <w:tcW w:w="4031" w:type="dxa"/>
          </w:tcPr>
          <w:p w:rsidR="008046EF" w:rsidRDefault="00112517" w:rsidP="00FB5F9E">
            <w:pPr>
              <w:spacing w:line="276" w:lineRule="auto"/>
            </w:pPr>
            <w:r>
              <w:rPr>
                <w:sz w:val="24"/>
              </w:rPr>
              <w:lastRenderedPageBreak/>
              <w:t xml:space="preserve">Menaces : dépendance à un prestataire de plateforme IA externe dont les tarifs peuvent évoluer ; concurrence potentielle de structures situées à </w:t>
              <w:lastRenderedPageBreak/>
              <w:t>Antananarivo ; fréquentation initiale incertaine.</w:t>
            </w:r>
          </w:p>
        </w:tc>
      </w:tr>
    </w:tbl>
    <w:p w:rsidR="008046EF" w:rsidRDefault="008046EF" w:rsidP="00FB5F9E">
      <w:pPr>
        <w:spacing w:after="80" w:line="276" w:lineRule="auto"/>
      </w:pPr>
    </w:p>
    <w:p w:rsidR="008046EF" w:rsidRDefault="00112517" w:rsidP="00FB5F9E">
      <w:pPr>
        <w:spacing w:before="320" w:after="160" w:line="276" w:lineRule="auto"/>
      </w:pPr>
      <w:r>
        <w:rPr>
          <w:b/>
          <w:color w:val="1F4E79"/>
          <w:sz w:val="28"/>
        </w:rPr>
        <w:t>11. Étude de faisabilité</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11.1 Faisabilité technique</w:t>
      </w:r>
    </w:p>
    <w:p w:rsidR="008046EF" w:rsidRDefault="00112517" w:rsidP="00FB5F9E">
      <w:pPr>
        <w:spacing w:after="200" w:line="276" w:lineRule="auto"/>
      </w:pPr>
      <w:r>
        <w:rPr>
          <w:sz w:val="24"/>
        </w:rPr>
        <w:t xml:space="preserve">L'architecture repose sur des postes de travail connectés à la plateforme d'apprentissage IA, avec un système d'identifiants et de suivi de progression pour chaque apprenant. Le principal point de vigilance est la dépendance à la connexion internet dans un contexte de délestage : une solution de connexion de secours et un fonctionnement en local partiel pour les contenus déjà téléchargés sont prévus, ce qui atténue le risque. Verdict : faisabilité technique favorable, sous réserve de la mise en place effective de la solution de connexion de secours avant l'ouverture.</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11.2 Faisabilité organisationnelle</w:t>
      </w:r>
    </w:p>
    <w:p w:rsidR="008046EF" w:rsidRDefault="00112517" w:rsidP="00FB5F9E">
      <w:pPr>
        <w:spacing w:after="200" w:line="276" w:lineRule="auto"/>
      </w:pPr>
      <w:r>
        <w:rPr>
          <w:sz w:val="24"/>
        </w:rPr>
        <w:t>Le recrutement de formateurs natifs/certifiés pour cinq langues, d'un(e) responsable pédagogique et d'un(e) technicien(ne) support constitue la principale charge organisationnelle, à mener en parallèle de l'aménagement du local dès le mois d'août. Verdict : faisabilité organisationnelle réalisable dans les délais annoncés, mais tendue compte tenu du nombre de recrutements à mener simultanément avant la rentrée de septembre.</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11.3 Faisabilité juridique</w:t>
      </w:r>
    </w:p>
    <w:p w:rsidR="008046EF" w:rsidRDefault="00112517" w:rsidP="00FB5F9E">
      <w:pPr>
        <w:spacing w:after="200" w:line="276" w:lineRule="auto"/>
      </w:pPr>
      <w:r>
        <w:rPr>
          <w:sz w:val="24"/>
        </w:rPr>
        <w:t>Deux points de vigilance : la distinction contractuelle claire entre frais de cours et frais d'examen officiel doit être formalisée dans les conditions générales d'inscription ; et les conventions de partenariat avec les consulats et centres culturels devront préciser les responsabilités respectives, notamment en cas de non-obtention de l'accréditation de centre d'examen agréé. Verdict : faisabilité juridique conditionnée à la formalisation des conventions avant le démarrage commercial.</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11.5 Calendrier et risques</w:t>
      </w:r>
    </w:p>
    <w:p w:rsidR="008046EF" w:rsidRDefault="00112517" w:rsidP="00FB5F9E">
      <w:pPr>
        <w:spacing w:after="200" w:line="276" w:lineRule="auto"/>
      </w:pPr>
      <w:r>
        <w:rPr>
          <w:sz w:val="24"/>
        </w:rPr>
        <w:t>Risques principaux :</w:t>
      </w:r>
    </w:p>
    <w:p w:rsidR="008046EF" w:rsidRDefault="00112517" w:rsidP="00FB5F9E">
      <w:pPr>
        <w:spacing w:after="120" w:line="276" w:lineRule="auto"/>
      </w:pPr>
      <w:r>
        <w:rPr>
          <w:sz w:val="24"/>
        </w:rPr>
        <w:t xml:space="preserve">- Recrutement simultané de cinq formateurs natifs/certifiés dans les délais serrés d'août-septembre.</w:t>
      </w:r>
    </w:p>
    <w:p w:rsidR="008046EF" w:rsidRDefault="00112517" w:rsidP="00FB5F9E">
      <w:pPr>
        <w:spacing w:after="120" w:line="276" w:lineRule="auto"/>
      </w:pPr>
      <w:r>
        <w:rPr>
          <w:sz w:val="24"/>
        </w:rPr>
        <w:t>- Dépendance aux coupures de courant/connexion pour le fonctionnement des modules IA.</w:t>
      </w:r>
    </w:p>
    <w:p w:rsidR="008046EF" w:rsidRDefault="00112517" w:rsidP="00FB5F9E">
      <w:pPr>
        <w:spacing w:after="120" w:line="276" w:lineRule="auto"/>
      </w:pPr>
      <w:r>
        <w:rPr>
          <w:sz w:val="24"/>
        </w:rPr>
        <w:t>- Fréquentation initiale insuffisante au démarrage, pouvant nécessiter un financement relais.</w:t>
      </w:r>
    </w:p>
    <w:p w:rsidR="008046EF" w:rsidRDefault="00112517" w:rsidP="00FB5F9E">
      <w:pPr>
        <w:spacing w:after="120" w:line="276" w:lineRule="auto"/>
      </w:pPr>
      <w:r>
        <w:rPr>
          <w:sz w:val="24"/>
        </w:rPr>
        <w:t>- Délai de signature des conventions consulaires pouvant retarder la reconnaissance officielle du centre.</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11.6 Conclusion sur la faisabilité</w:t>
      </w:r>
    </w:p>
    <w:p w:rsidR="008046EF" w:rsidRDefault="00112517" w:rsidP="00FB5F9E">
      <w:pPr>
        <w:spacing w:after="200" w:line="276" w:lineRule="auto"/>
      </w:pPr>
      <w:r>
        <w:rPr>
          <w:sz w:val="24"/>
        </w:rPr>
        <w:t xml:space="preserve">Le projet est techniquement et organisationnellement réalisable dans les délais annoncés. La faisabilité financière nécessite une étude dédiée : le centre pourrait fonctionner à perte durant les premiers mois, avant que la montée en charge commerciale ne permette d'atteindre puis de dépasser l'équilibre. Un financement relais est recommandé pour sécuriser cette phase.</w:t>
      </w:r>
    </w:p>
    <w:tbl>
      <w:tblPr>
        <w:tblW w:type="auto" w:w="0"/>
        <w:tblLook w:firstColumn="1" w:firstRow="1" w:lastColumn="0" w:lastRow="0" w:noHBand="0" w:noVBand="1" w:val="04A0"/>
      </w:tblPr>
      <w:tblGrid>
        <w:gridCol w:w="3099"/>
        <w:gridCol w:w="3099"/>
        <w:gridCol w:w="3099"/>
      </w:tblGrid>
      <w:tr>
        <w:tc>
          <w:tcPr>
            <w:tcW w:type="dxa" w:w="3099"/>
          </w:tcPr>
          <w:p>
            <w:r>
              <w:t>Rôle</w:t>
            </w:r>
          </w:p>
        </w:tc>
        <w:tc>
          <w:tcPr>
            <w:tcW w:type="dxa" w:w="3099"/>
          </w:tcPr>
          <w:p>
            <w:r>
              <w:t>Effectif</w:t>
            </w:r>
          </w:p>
        </w:tc>
        <w:tc>
          <w:tcPr>
            <w:tcW w:type="dxa" w:w="3099"/>
          </w:tcPr>
          <w:p>
            <w:r>
              <w:t>Responsabilités principales</w:t>
            </w:r>
          </w:p>
        </w:tc>
      </w:tr>
      <w:tr>
        <w:tc>
          <w:tcPr>
            <w:tcW w:type="dxa" w:w="3099"/>
          </w:tcPr>
          <w:p>
            <w:r>
              <w:t>Chef de projet</w:t>
            </w:r>
          </w:p>
        </w:tc>
        <w:tc>
          <w:tcPr>
            <w:tcW w:type="dxa" w:w="3099"/>
          </w:tcPr>
          <w:p>
            <w:r>
              <w:t>1</w:t>
            </w:r>
          </w:p>
        </w:tc>
        <w:tc>
          <w:tcPr>
            <w:tcW w:type="dxa" w:w="3099"/>
          </w:tcPr>
          <w:p>
            <w:r>
              <w:t>Pilotage, coordination, planification, suivi des livrables, priorisation et coordination avec les parties prenantes.</w:t>
            </w:r>
          </w:p>
        </w:tc>
      </w:tr>
      <w:tr>
        <w:tc>
          <w:tcPr>
            <w:tcW w:type="dxa" w:w="3099"/>
          </w:tcPr>
          <w:p>
            <w:r>
              <w:t>Développeur Full-Stack</w:t>
            </w:r>
          </w:p>
        </w:tc>
        <w:tc>
          <w:tcPr>
            <w:tcW w:type="dxa" w:w="3099"/>
          </w:tcPr>
          <w:p>
            <w:r>
              <w:t>2</w:t>
            </w:r>
          </w:p>
        </w:tc>
        <w:tc>
          <w:tcPr>
            <w:tcW w:type="dxa" w:w="3099"/>
          </w:tcPr>
          <w:p>
            <w:r>
              <w:t>Développement front-end et back-end, intégration des API, base de données, authentification et maintenance.</w:t>
            </w:r>
          </w:p>
        </w:tc>
      </w:tr>
      <w:tr>
        <w:tc>
          <w:tcPr>
            <w:tcW w:type="dxa" w:w="3099"/>
          </w:tcPr>
          <w:p>
            <w:r>
              <w:t>Stagiaire Développeur — L3 Junior</w:t>
            </w:r>
          </w:p>
        </w:tc>
        <w:tc>
          <w:tcPr>
            <w:tcW w:type="dxa" w:w="3099"/>
          </w:tcPr>
          <w:p>
            <w:r>
              <w:t>1</w:t>
            </w:r>
          </w:p>
        </w:tc>
        <w:tc>
          <w:tcPr>
            <w:tcW w:type="dxa" w:w="3099"/>
          </w:tcPr>
          <w:p>
            <w:r>
              <w:t>Développement de fonctionnalités encadrées, correction de bugs, tests, intégration UI et documentation.</w:t>
            </w:r>
          </w:p>
        </w:tc>
      </w:tr>
      <w:tr>
        <w:tc>
          <w:tcPr>
            <w:tcW w:type="dxa" w:w="3099"/>
          </w:tcPr>
          <w:p>
            <w:r>
              <w:t>Stagiaire AI Engineer</w:t>
            </w:r>
          </w:p>
        </w:tc>
        <w:tc>
          <w:tcPr>
            <w:tcW w:type="dxa" w:w="3099"/>
          </w:tcPr>
          <w:p>
            <w:r>
              <w:t>1</w:t>
            </w:r>
          </w:p>
        </w:tc>
        <w:tc>
          <w:tcPr>
            <w:tcW w:type="dxa" w:w="3099"/>
          </w:tcPr>
          <w:p>
            <w:r>
              <w:t>Développement et intégration des composants IA, expérimentation de modèles, traitement des données et services IA.</w:t>
            </w:r>
          </w:p>
        </w:tc>
      </w:tr>
      <w:tr>
        <w:tc>
          <w:tcPr>
            <w:tcW w:type="dxa" w:w="3099"/>
          </w:tcPr>
          <w:p>
            <w:r>
              <w:t>Mathématicien</w:t>
            </w:r>
          </w:p>
        </w:tc>
        <w:tc>
          <w:tcPr>
            <w:tcW w:type="dxa" w:w="3099"/>
          </w:tcPr>
          <w:p>
            <w:r>
              <w:t>1</w:t>
            </w:r>
          </w:p>
        </w:tc>
        <w:tc>
          <w:tcPr>
            <w:tcW w:type="dxa" w:w="3099"/>
          </w:tcPr>
          <w:p>
            <w:r>
              <w:t>Appui en modélisation, statistiques, analyse des données, évaluation des performances et mécanismes de progression.</w:t>
            </w:r>
          </w:p>
        </w:tc>
      </w:tr>
    </w:tbl>
    <w:tbl>
      <w:tblPr>
        <w:tblW w:type="auto" w:w="0"/>
        <w:tblLook w:firstColumn="1" w:firstRow="1" w:lastColumn="0" w:lastRow="0" w:noHBand="0" w:noVBand="1" w:val="04A0"/>
      </w:tblPr>
      <w:tblGrid>
        <w:gridCol w:w="3099"/>
        <w:gridCol w:w="3099"/>
        <w:gridCol w:w="3099"/>
      </w:tblGrid>
      <w:tr>
        <w:tc>
          <w:tcPr>
            <w:tcW w:type="dxa" w:w="3099"/>
          </w:tcPr>
          <w:p>
            <w:r>
              <w:t>Couche</w:t>
            </w:r>
          </w:p>
        </w:tc>
        <w:tc>
          <w:tcPr>
            <w:tcW w:type="dxa" w:w="3099"/>
          </w:tcPr>
          <w:p>
            <w:r>
              <w:t>Technologie</w:t>
            </w:r>
          </w:p>
        </w:tc>
        <w:tc>
          <w:tcPr>
            <w:tcW w:type="dxa" w:w="3099"/>
          </w:tcPr>
          <w:p>
            <w:r>
              <w:t>Utilisation</w:t>
            </w:r>
          </w:p>
        </w:tc>
      </w:tr>
      <w:tr>
        <w:tc>
          <w:tcPr>
            <w:tcW w:type="dxa" w:w="3099"/>
          </w:tcPr>
          <w:p>
            <w:r>
              <w:t>Front-end</w:t>
            </w:r>
          </w:p>
        </w:tc>
        <w:tc>
          <w:tcPr>
            <w:tcW w:type="dxa" w:w="3099"/>
          </w:tcPr>
          <w:p>
            <w:r>
              <w:t>Next.js</w:t>
            </w:r>
          </w:p>
        </w:tc>
        <w:tc>
          <w:tcPr>
            <w:tcW w:type="dxa" w:w="3099"/>
          </w:tcPr>
          <w:p>
            <w:r>
              <w:t>Interface web, espace apprenant, espace formateur, administration et interfaces responsives.</w:t>
            </w:r>
          </w:p>
        </w:tc>
      </w:tr>
      <w:tr>
        <w:tc>
          <w:tcPr>
            <w:tcW w:type="dxa" w:w="3099"/>
          </w:tcPr>
          <w:p>
            <w:r>
              <w:t>Back-end</w:t>
            </w:r>
          </w:p>
        </w:tc>
        <w:tc>
          <w:tcPr>
            <w:tcW w:type="dxa" w:w="3099"/>
          </w:tcPr>
          <w:p>
            <w:r>
              <w:t>FastAPI</w:t>
            </w:r>
          </w:p>
        </w:tc>
        <w:tc>
          <w:tcPr>
            <w:tcW w:type="dxa" w:w="3099"/>
          </w:tcPr>
          <w:p>
            <w:r>
              <w:t>API, logique métier, authentification/autorisation, abonnements, progression et intégration IA.</w:t>
            </w:r>
          </w:p>
        </w:tc>
      </w:tr>
      <w:tr>
        <w:tc>
          <w:tcPr>
            <w:tcW w:type="dxa" w:w="3099"/>
          </w:tcPr>
          <w:p>
            <w:r>
              <w:t>IA</w:t>
            </w:r>
          </w:p>
        </w:tc>
        <w:tc>
          <w:tcPr>
            <w:tcW w:type="dxa" w:w="3099"/>
          </w:tcPr>
          <w:p>
            <w:r>
              <w:t>Services/modèles IA à définir</w:t>
            </w:r>
          </w:p>
        </w:tc>
        <w:tc>
          <w:tcPr>
            <w:tcW w:type="dxa" w:w="3099"/>
          </w:tcPr>
          <w:p>
            <w:r>
              <w:t>Diagnostic, personnalisation, génération d’exercices, conversation, reconnaissance vocale et analyse.</w:t>
            </w:r>
          </w:p>
        </w:tc>
      </w:tr>
      <w:tr>
        <w:tc>
          <w:tcPr>
            <w:tcW w:type="dxa" w:w="3099"/>
          </w:tcPr>
          <w:p>
            <w:r>
              <w:t>Données</w:t>
            </w:r>
          </w:p>
        </w:tc>
        <w:tc>
          <w:tcPr>
            <w:tcW w:type="dxa" w:w="3099"/>
          </w:tcPr>
          <w:p>
            <w:r>
              <w:t>Base de données à définir selon l’architecture</w:t>
            </w:r>
          </w:p>
        </w:tc>
        <w:tc>
          <w:tcPr>
            <w:tcW w:type="dxa" w:w="3099"/>
          </w:tcPr>
          <w:p>
            <w:r>
              <w:t>Comptes, abonnements, contenus, progression, réservations et données pédagogiques.</w:t>
            </w:r>
          </w:p>
        </w:tc>
      </w:tr>
    </w:tbl>
    <w:p>
      <w:pPr>
        <w:pStyle w:val="Titre1"/>
      </w:pPr>
      <w:r>
        <w:t>12. Critères généraux de réception</w:t>
      </w:r>
    </w:p>
    <w:p>
      <w:pPr>
        <w:ind w:left="283"/>
      </w:pPr>
      <w:r>
        <w:t>• Les fonctionnalités définies dans le cahier des charges sont implémentées et testées.</w:t>
      </w:r>
    </w:p>
    <w:p>
      <w:pPr>
        <w:ind w:left="283"/>
      </w:pPr>
      <w:r>
        <w:t>• Le front-end Next.js communique correctement avec les API FastAPI.</w:t>
      </w:r>
    </w:p>
    <w:p>
      <w:pPr>
        <w:ind w:left="283"/>
      </w:pPr>
      <w:r>
        <w:t>• Les comptes, droits d’accès, abonnements et données de progression sont correctement gérés.</w:t>
      </w:r>
    </w:p>
    <w:p>
      <w:pPr>
        <w:ind w:left="283"/>
      </w:pPr>
      <w:r>
        <w:t>• Les fonctionnalités IA retenues sont intégrées et testées sur des scénarios représentatifs.</w:t>
      </w:r>
    </w:p>
    <w:p>
      <w:pPr>
        <w:ind w:left="283"/>
      </w:pPr>
      <w:r>
        <w:t>• Les interfaces sont utilisables sur les postes du centre et adaptées aux principaux écrans.</w:t>
      </w:r>
    </w:p>
    <w:p>
      <w:pPr>
        <w:ind w:left="283"/>
      </w:pPr>
      <w:r>
        <w:t>• La documentation d’exploitation et de maintenance est fournie.</w:t>
      </w:r>
    </w:p>
    <w:p>
      <w:pPr>
        <w:ind w:left="283"/>
      </w:pPr>
      <w:r>
        <w:t>• Les mécanismes de sauvegarde et de sécurité prévus sont opérationnels avant l’ouverture.</w:t>
      </w:r>
    </w:p>
    <w:p>
      <w:pPr>
        <w:jc w:val="center"/>
      </w:pPr>
      <w:r>
        <w:rPr>
          <w:i/>
          <w:sz w:val="18"/>
        </w:rPr>
        <w:t>Document établi à partir du document de cadrage stratégique et opérationnel fourni.</w:t>
      </w:r>
    </w:p>
    <w:sectPr w:rsidR="008046EF">
      <w:pgSz w:w="11906" w:h="16838"/>
      <w:pgMar w:top="1247" w:right="1304" w:bottom="1247" w:left="130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72DF6"/>
    <w:multiLevelType w:val="hybridMultilevel"/>
    <w:tmpl w:val="E2346888"/>
    <w:lvl w:ilvl="0" w:tplc="C4CEB8A4">
      <w:start w:val="1"/>
      <w:numFmt w:val="bullet"/>
      <w:lvlText w:val="•"/>
      <w:lvlJc w:val="left"/>
      <w:pPr>
        <w:ind w:left="460" w:hanging="260"/>
      </w:pPr>
    </w:lvl>
    <w:lvl w:ilvl="1" w:tplc="08D88702">
      <w:start w:val="1"/>
      <w:numFmt w:val="bullet"/>
      <w:lvlText w:val="◦"/>
      <w:lvlJc w:val="left"/>
      <w:pPr>
        <w:ind w:left="920" w:hanging="260"/>
      </w:pPr>
    </w:lvl>
    <w:lvl w:ilvl="2" w:tplc="CFCA00E6">
      <w:numFmt w:val="decimal"/>
      <w:lvlText w:val=""/>
      <w:lvlJc w:val="left"/>
    </w:lvl>
    <w:lvl w:ilvl="3" w:tplc="BB7E726C">
      <w:numFmt w:val="decimal"/>
      <w:lvlText w:val=""/>
      <w:lvlJc w:val="left"/>
    </w:lvl>
    <w:lvl w:ilvl="4" w:tplc="2BD62BE8">
      <w:numFmt w:val="decimal"/>
      <w:lvlText w:val=""/>
      <w:lvlJc w:val="left"/>
    </w:lvl>
    <w:lvl w:ilvl="5" w:tplc="CB38B4F8">
      <w:numFmt w:val="decimal"/>
      <w:lvlText w:val=""/>
      <w:lvlJc w:val="left"/>
    </w:lvl>
    <w:lvl w:ilvl="6" w:tplc="3B78F87E">
      <w:numFmt w:val="decimal"/>
      <w:lvlText w:val=""/>
      <w:lvlJc w:val="left"/>
    </w:lvl>
    <w:lvl w:ilvl="7" w:tplc="B5889B4E">
      <w:numFmt w:val="decimal"/>
      <w:lvlText w:val=""/>
      <w:lvlJc w:val="left"/>
    </w:lvl>
    <w:lvl w:ilvl="8" w:tplc="A170E8FA">
      <w:numFmt w:val="decimal"/>
      <w:lvlText w:val=""/>
      <w:lvlJc w:val="left"/>
    </w:lvl>
  </w:abstractNum>
  <w:abstractNum w:abstractNumId="1" w15:restartNumberingAfterBreak="0">
    <w:nsid w:val="17A54434"/>
    <w:multiLevelType w:val="hybridMultilevel"/>
    <w:tmpl w:val="65BE95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421340"/>
    <w:multiLevelType w:val="hybridMultilevel"/>
    <w:tmpl w:val="89562AA4"/>
    <w:lvl w:ilvl="0" w:tplc="2A185C42">
      <w:start w:val="1"/>
      <w:numFmt w:val="bullet"/>
      <w:lvlText w:val="●"/>
      <w:lvlJc w:val="left"/>
      <w:pPr>
        <w:ind w:left="720" w:hanging="360"/>
      </w:pPr>
    </w:lvl>
    <w:lvl w:ilvl="1" w:tplc="C882E214">
      <w:start w:val="1"/>
      <w:numFmt w:val="bullet"/>
      <w:lvlText w:val="○"/>
      <w:lvlJc w:val="left"/>
      <w:pPr>
        <w:ind w:left="1440" w:hanging="360"/>
      </w:pPr>
    </w:lvl>
    <w:lvl w:ilvl="2" w:tplc="BAA4A898">
      <w:start w:val="1"/>
      <w:numFmt w:val="bullet"/>
      <w:lvlText w:val="■"/>
      <w:lvlJc w:val="left"/>
      <w:pPr>
        <w:ind w:left="2160" w:hanging="360"/>
      </w:pPr>
    </w:lvl>
    <w:lvl w:ilvl="3" w:tplc="515CA466">
      <w:start w:val="1"/>
      <w:numFmt w:val="bullet"/>
      <w:lvlText w:val="●"/>
      <w:lvlJc w:val="left"/>
      <w:pPr>
        <w:ind w:left="2880" w:hanging="360"/>
      </w:pPr>
    </w:lvl>
    <w:lvl w:ilvl="4" w:tplc="68F4F766">
      <w:start w:val="1"/>
      <w:numFmt w:val="bullet"/>
      <w:lvlText w:val="○"/>
      <w:lvlJc w:val="left"/>
      <w:pPr>
        <w:ind w:left="3600" w:hanging="360"/>
      </w:pPr>
    </w:lvl>
    <w:lvl w:ilvl="5" w:tplc="871835CA">
      <w:start w:val="1"/>
      <w:numFmt w:val="bullet"/>
      <w:lvlText w:val="■"/>
      <w:lvlJc w:val="left"/>
      <w:pPr>
        <w:ind w:left="4320" w:hanging="360"/>
      </w:pPr>
    </w:lvl>
    <w:lvl w:ilvl="6" w:tplc="D4CE7112">
      <w:start w:val="1"/>
      <w:numFmt w:val="bullet"/>
      <w:lvlText w:val="●"/>
      <w:lvlJc w:val="left"/>
      <w:pPr>
        <w:ind w:left="5040" w:hanging="360"/>
      </w:pPr>
    </w:lvl>
    <w:lvl w:ilvl="7" w:tplc="2DC8B95E">
      <w:start w:val="1"/>
      <w:numFmt w:val="bullet"/>
      <w:lvlText w:val="●"/>
      <w:lvlJc w:val="left"/>
      <w:pPr>
        <w:ind w:left="5760" w:hanging="360"/>
      </w:pPr>
    </w:lvl>
    <w:lvl w:ilvl="8" w:tplc="EA4E42E8">
      <w:start w:val="1"/>
      <w:numFmt w:val="bullet"/>
      <w:lvlText w:val="●"/>
      <w:lvlJc w:val="left"/>
      <w:pPr>
        <w:ind w:left="6480" w:hanging="360"/>
      </w:pPr>
    </w:lvl>
  </w:abstractNum>
  <w:abstractNum w:abstractNumId="3" w15:restartNumberingAfterBreak="0">
    <w:nsid w:val="2B656B07"/>
    <w:multiLevelType w:val="hybridMultilevel"/>
    <w:tmpl w:val="985449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4F811BA"/>
    <w:multiLevelType w:val="multilevel"/>
    <w:tmpl w:val="A462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153EF0"/>
    <w:multiLevelType w:val="multilevel"/>
    <w:tmpl w:val="6F10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lvlOverride w:ilvl="0">
      <w:startOverride w:val="1"/>
    </w:lvlOverride>
  </w:num>
  <w:num w:numId="2">
    <w:abstractNumId w:val="0"/>
    <w:lvlOverride w:ilvl="0">
      <w:startOverride w:val="1"/>
    </w:lvlOverride>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D93"/>
    <w:rsid w:val="000141D2"/>
    <w:rsid w:val="000957C2"/>
    <w:rsid w:val="000C0A51"/>
    <w:rsid w:val="00112517"/>
    <w:rsid w:val="002F6C00"/>
    <w:rsid w:val="003E02F1"/>
    <w:rsid w:val="003F4A53"/>
    <w:rsid w:val="0046638E"/>
    <w:rsid w:val="004960DF"/>
    <w:rsid w:val="00591397"/>
    <w:rsid w:val="007E001B"/>
    <w:rsid w:val="0080185E"/>
    <w:rsid w:val="008046EF"/>
    <w:rsid w:val="00833D93"/>
    <w:rsid w:val="00837888"/>
    <w:rsid w:val="008E3874"/>
    <w:rsid w:val="00901126"/>
    <w:rsid w:val="009143F0"/>
    <w:rsid w:val="009F7BDD"/>
    <w:rsid w:val="00A51296"/>
    <w:rsid w:val="00B32E99"/>
    <w:rsid w:val="00D73558"/>
    <w:rsid w:val="00DD1B82"/>
    <w:rsid w:val="00E16684"/>
    <w:rsid w:val="00E64CC7"/>
    <w:rsid w:val="00FB1AD5"/>
    <w:rsid w:val="00FB5F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B913"/>
  <w15:docId w15:val="{0ECA5AD3-0052-4D5B-A560-C178572C2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ptos" w:hAnsi="Aptos"/>
      <w:sz w:val="21"/>
    </w:rPr>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lev">
    <w:name w:val="Strong"/>
    <w:basedOn w:val="Policepardfaut"/>
    <w:uiPriority w:val="22"/>
    <w:qFormat/>
    <w:rsid w:val="000141D2"/>
    <w:rPr>
      <w:b/>
      <w:bCs/>
    </w:rPr>
  </w:style>
  <w:style w:type="paragraph" w:customStyle="1" w:styleId="font-claude-response-body">
    <w:name w:val="font-claude-response-body"/>
    <w:basedOn w:val="Normal"/>
    <w:rsid w:val="00DD1B82"/>
    <w:pPr>
      <w:spacing w:before="100" w:beforeAutospacing="1" w:after="100" w:afterAutospacing="1"/>
    </w:pPr>
    <w:rPr>
      <w:sz w:val="24"/>
      <w:szCs w:val="24"/>
    </w:rPr>
  </w:style>
  <w:style w:type="paragraph" w:styleId="NormalWeb">
    <w:name w:val="Normal (Web)"/>
    <w:basedOn w:val="Normal"/>
    <w:uiPriority w:val="99"/>
    <w:unhideWhenUsed/>
    <w:rsid w:val="007E001B"/>
    <w:pPr>
      <w:spacing w:before="100" w:beforeAutospacing="1" w:after="100" w:afterAutospacing="1"/>
    </w:pPr>
    <w:rPr>
      <w:sz w:val="24"/>
      <w:szCs w:val="24"/>
    </w:rPr>
  </w:style>
  <w:style w:type="character" w:styleId="Accentuation">
    <w:name w:val="Emphasis"/>
    <w:basedOn w:val="Policepardfaut"/>
    <w:uiPriority w:val="20"/>
    <w:qFormat/>
    <w:rsid w:val="00E64C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452394">
      <w:bodyDiv w:val="1"/>
      <w:marLeft w:val="0"/>
      <w:marRight w:val="0"/>
      <w:marTop w:val="0"/>
      <w:marBottom w:val="0"/>
      <w:divBdr>
        <w:top w:val="none" w:sz="0" w:space="0" w:color="auto"/>
        <w:left w:val="none" w:sz="0" w:space="0" w:color="auto"/>
        <w:bottom w:val="none" w:sz="0" w:space="0" w:color="auto"/>
        <w:right w:val="none" w:sz="0" w:space="0" w:color="auto"/>
      </w:divBdr>
    </w:div>
    <w:div w:id="490801232">
      <w:bodyDiv w:val="1"/>
      <w:marLeft w:val="0"/>
      <w:marRight w:val="0"/>
      <w:marTop w:val="0"/>
      <w:marBottom w:val="0"/>
      <w:divBdr>
        <w:top w:val="none" w:sz="0" w:space="0" w:color="auto"/>
        <w:left w:val="none" w:sz="0" w:space="0" w:color="auto"/>
        <w:bottom w:val="none" w:sz="0" w:space="0" w:color="auto"/>
        <w:right w:val="none" w:sz="0" w:space="0" w:color="auto"/>
      </w:divBdr>
    </w:div>
    <w:div w:id="1061295289">
      <w:bodyDiv w:val="1"/>
      <w:marLeft w:val="0"/>
      <w:marRight w:val="0"/>
      <w:marTop w:val="0"/>
      <w:marBottom w:val="0"/>
      <w:divBdr>
        <w:top w:val="none" w:sz="0" w:space="0" w:color="auto"/>
        <w:left w:val="none" w:sz="0" w:space="0" w:color="auto"/>
        <w:bottom w:val="none" w:sz="0" w:space="0" w:color="auto"/>
        <w:right w:val="none" w:sz="0" w:space="0" w:color="auto"/>
      </w:divBdr>
    </w:div>
    <w:div w:id="1227185683">
      <w:bodyDiv w:val="1"/>
      <w:marLeft w:val="0"/>
      <w:marRight w:val="0"/>
      <w:marTop w:val="0"/>
      <w:marBottom w:val="0"/>
      <w:divBdr>
        <w:top w:val="none" w:sz="0" w:space="0" w:color="auto"/>
        <w:left w:val="none" w:sz="0" w:space="0" w:color="auto"/>
        <w:bottom w:val="none" w:sz="0" w:space="0" w:color="auto"/>
        <w:right w:val="none" w:sz="0" w:space="0" w:color="auto"/>
      </w:divBdr>
    </w:div>
    <w:div w:id="1303388609">
      <w:bodyDiv w:val="1"/>
      <w:marLeft w:val="0"/>
      <w:marRight w:val="0"/>
      <w:marTop w:val="0"/>
      <w:marBottom w:val="0"/>
      <w:divBdr>
        <w:top w:val="none" w:sz="0" w:space="0" w:color="auto"/>
        <w:left w:val="none" w:sz="0" w:space="0" w:color="auto"/>
        <w:bottom w:val="none" w:sz="0" w:space="0" w:color="auto"/>
        <w:right w:val="none" w:sz="0" w:space="0" w:color="auto"/>
      </w:divBdr>
      <w:divsChild>
        <w:div w:id="804396953">
          <w:blockQuote w:val="1"/>
          <w:marLeft w:val="120"/>
          <w:marRight w:val="0"/>
          <w:marTop w:val="0"/>
          <w:marBottom w:val="0"/>
          <w:divBdr>
            <w:top w:val="single" w:sz="2" w:space="0" w:color="auto"/>
            <w:left w:val="single" w:sz="24" w:space="6" w:color="auto"/>
            <w:bottom w:val="single" w:sz="2" w:space="0" w:color="auto"/>
            <w:right w:val="single" w:sz="2" w:space="24" w:color="auto"/>
          </w:divBdr>
        </w:div>
      </w:divsChild>
    </w:div>
    <w:div w:id="1398282719">
      <w:bodyDiv w:val="1"/>
      <w:marLeft w:val="0"/>
      <w:marRight w:val="0"/>
      <w:marTop w:val="0"/>
      <w:marBottom w:val="0"/>
      <w:divBdr>
        <w:top w:val="none" w:sz="0" w:space="0" w:color="auto"/>
        <w:left w:val="none" w:sz="0" w:space="0" w:color="auto"/>
        <w:bottom w:val="none" w:sz="0" w:space="0" w:color="auto"/>
        <w:right w:val="none" w:sz="0" w:space="0" w:color="auto"/>
      </w:divBdr>
    </w:div>
    <w:div w:id="1637493667">
      <w:bodyDiv w:val="1"/>
      <w:marLeft w:val="0"/>
      <w:marRight w:val="0"/>
      <w:marTop w:val="0"/>
      <w:marBottom w:val="0"/>
      <w:divBdr>
        <w:top w:val="none" w:sz="0" w:space="0" w:color="auto"/>
        <w:left w:val="none" w:sz="0" w:space="0" w:color="auto"/>
        <w:bottom w:val="none" w:sz="0" w:space="0" w:color="auto"/>
        <w:right w:val="none" w:sz="0" w:space="0" w:color="auto"/>
      </w:divBdr>
      <w:divsChild>
        <w:div w:id="613709160">
          <w:marLeft w:val="0"/>
          <w:marRight w:val="0"/>
          <w:marTop w:val="0"/>
          <w:marBottom w:val="0"/>
          <w:divBdr>
            <w:top w:val="none" w:sz="0" w:space="0" w:color="auto"/>
            <w:left w:val="none" w:sz="0" w:space="0" w:color="auto"/>
            <w:bottom w:val="none" w:sz="0" w:space="0" w:color="auto"/>
            <w:right w:val="none" w:sz="0" w:space="0" w:color="auto"/>
          </w:divBdr>
          <w:divsChild>
            <w:div w:id="1144007067">
              <w:marLeft w:val="0"/>
              <w:marRight w:val="0"/>
              <w:marTop w:val="0"/>
              <w:marBottom w:val="0"/>
              <w:divBdr>
                <w:top w:val="none" w:sz="0" w:space="0" w:color="auto"/>
                <w:left w:val="none" w:sz="0" w:space="0" w:color="auto"/>
                <w:bottom w:val="none" w:sz="0" w:space="0" w:color="auto"/>
                <w:right w:val="none" w:sz="0" w:space="0" w:color="auto"/>
              </w:divBdr>
              <w:divsChild>
                <w:div w:id="1461998396">
                  <w:marLeft w:val="0"/>
                  <w:marRight w:val="0"/>
                  <w:marTop w:val="0"/>
                  <w:marBottom w:val="0"/>
                  <w:divBdr>
                    <w:top w:val="none" w:sz="0" w:space="0" w:color="auto"/>
                    <w:left w:val="none" w:sz="0" w:space="0" w:color="auto"/>
                    <w:bottom w:val="none" w:sz="0" w:space="0" w:color="auto"/>
                    <w:right w:val="none" w:sz="0" w:space="0" w:color="auto"/>
                  </w:divBdr>
                  <w:divsChild>
                    <w:div w:id="373044400">
                      <w:marLeft w:val="0"/>
                      <w:marRight w:val="0"/>
                      <w:marTop w:val="0"/>
                      <w:marBottom w:val="0"/>
                      <w:divBdr>
                        <w:top w:val="none" w:sz="0" w:space="0" w:color="auto"/>
                        <w:left w:val="none" w:sz="0" w:space="0" w:color="auto"/>
                        <w:bottom w:val="none" w:sz="0" w:space="0" w:color="auto"/>
                        <w:right w:val="none" w:sz="0" w:space="0" w:color="auto"/>
                      </w:divBdr>
                      <w:divsChild>
                        <w:div w:id="785122378">
                          <w:marLeft w:val="0"/>
                          <w:marRight w:val="0"/>
                          <w:marTop w:val="0"/>
                          <w:marBottom w:val="0"/>
                          <w:divBdr>
                            <w:top w:val="none" w:sz="0" w:space="0" w:color="auto"/>
                            <w:left w:val="none" w:sz="0" w:space="0" w:color="auto"/>
                            <w:bottom w:val="none" w:sz="0" w:space="0" w:color="auto"/>
                            <w:right w:val="none" w:sz="0" w:space="0" w:color="auto"/>
                          </w:divBdr>
                          <w:divsChild>
                            <w:div w:id="2112895858">
                              <w:marLeft w:val="0"/>
                              <w:marRight w:val="0"/>
                              <w:marTop w:val="0"/>
                              <w:marBottom w:val="0"/>
                              <w:divBdr>
                                <w:top w:val="none" w:sz="0" w:space="0" w:color="auto"/>
                                <w:left w:val="none" w:sz="0" w:space="0" w:color="auto"/>
                                <w:bottom w:val="none" w:sz="0" w:space="0" w:color="auto"/>
                                <w:right w:val="none" w:sz="0" w:space="0" w:color="auto"/>
                              </w:divBdr>
                              <w:divsChild>
                                <w:div w:id="85544165">
                                  <w:marLeft w:val="0"/>
                                  <w:marRight w:val="0"/>
                                  <w:marTop w:val="0"/>
                                  <w:marBottom w:val="0"/>
                                  <w:divBdr>
                                    <w:top w:val="none" w:sz="0" w:space="0" w:color="auto"/>
                                    <w:left w:val="none" w:sz="0" w:space="0" w:color="auto"/>
                                    <w:bottom w:val="none" w:sz="0" w:space="0" w:color="auto"/>
                                    <w:right w:val="none" w:sz="0" w:space="0" w:color="auto"/>
                                  </w:divBdr>
                                  <w:divsChild>
                                    <w:div w:id="1023633532">
                                      <w:marLeft w:val="0"/>
                                      <w:marRight w:val="0"/>
                                      <w:marTop w:val="0"/>
                                      <w:marBottom w:val="0"/>
                                      <w:divBdr>
                                        <w:top w:val="none" w:sz="0" w:space="0" w:color="auto"/>
                                        <w:left w:val="none" w:sz="0" w:space="0" w:color="auto"/>
                                        <w:bottom w:val="none" w:sz="0" w:space="0" w:color="auto"/>
                                        <w:right w:val="none" w:sz="0" w:space="0" w:color="auto"/>
                                      </w:divBdr>
                                      <w:divsChild>
                                        <w:div w:id="1001396297">
                                          <w:marLeft w:val="0"/>
                                          <w:marRight w:val="0"/>
                                          <w:marTop w:val="0"/>
                                          <w:marBottom w:val="0"/>
                                          <w:divBdr>
                                            <w:top w:val="none" w:sz="0" w:space="0" w:color="auto"/>
                                            <w:left w:val="none" w:sz="0" w:space="0" w:color="auto"/>
                                            <w:bottom w:val="none" w:sz="0" w:space="0" w:color="auto"/>
                                            <w:right w:val="none" w:sz="0" w:space="0" w:color="auto"/>
                                          </w:divBdr>
                                          <w:divsChild>
                                            <w:div w:id="2732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7488151">
          <w:marLeft w:val="0"/>
          <w:marRight w:val="0"/>
          <w:marTop w:val="0"/>
          <w:marBottom w:val="0"/>
          <w:divBdr>
            <w:top w:val="none" w:sz="0" w:space="0" w:color="auto"/>
            <w:left w:val="none" w:sz="0" w:space="0" w:color="auto"/>
            <w:bottom w:val="none" w:sz="0" w:space="0" w:color="auto"/>
            <w:right w:val="none" w:sz="0" w:space="0" w:color="auto"/>
          </w:divBdr>
          <w:divsChild>
            <w:div w:id="1852335517">
              <w:marLeft w:val="0"/>
              <w:marRight w:val="0"/>
              <w:marTop w:val="0"/>
              <w:marBottom w:val="0"/>
              <w:divBdr>
                <w:top w:val="none" w:sz="0" w:space="0" w:color="auto"/>
                <w:left w:val="none" w:sz="0" w:space="0" w:color="auto"/>
                <w:bottom w:val="none" w:sz="0" w:space="0" w:color="auto"/>
                <w:right w:val="none" w:sz="0" w:space="0" w:color="auto"/>
              </w:divBdr>
              <w:divsChild>
                <w:div w:id="436678072">
                  <w:marLeft w:val="0"/>
                  <w:marRight w:val="0"/>
                  <w:marTop w:val="0"/>
                  <w:marBottom w:val="0"/>
                  <w:divBdr>
                    <w:top w:val="none" w:sz="0" w:space="0" w:color="auto"/>
                    <w:left w:val="none" w:sz="0" w:space="0" w:color="auto"/>
                    <w:bottom w:val="none" w:sz="0" w:space="0" w:color="auto"/>
                    <w:right w:val="none" w:sz="0" w:space="0" w:color="auto"/>
                  </w:divBdr>
                  <w:divsChild>
                    <w:div w:id="1988392458">
                      <w:marLeft w:val="0"/>
                      <w:marRight w:val="0"/>
                      <w:marTop w:val="0"/>
                      <w:marBottom w:val="0"/>
                      <w:divBdr>
                        <w:top w:val="none" w:sz="0" w:space="0" w:color="auto"/>
                        <w:left w:val="none" w:sz="0" w:space="0" w:color="auto"/>
                        <w:bottom w:val="none" w:sz="0" w:space="0" w:color="auto"/>
                        <w:right w:val="none" w:sz="0" w:space="0" w:color="auto"/>
                      </w:divBdr>
                      <w:divsChild>
                        <w:div w:id="1767388110">
                          <w:marLeft w:val="0"/>
                          <w:marRight w:val="0"/>
                          <w:marTop w:val="100"/>
                          <w:marBottom w:val="100"/>
                          <w:divBdr>
                            <w:top w:val="none" w:sz="0" w:space="0" w:color="auto"/>
                            <w:left w:val="none" w:sz="0" w:space="0" w:color="auto"/>
                            <w:bottom w:val="none" w:sz="0" w:space="0" w:color="auto"/>
                            <w:right w:val="none" w:sz="0" w:space="0" w:color="auto"/>
                          </w:divBdr>
                          <w:divsChild>
                            <w:div w:id="802038505">
                              <w:marLeft w:val="0"/>
                              <w:marRight w:val="0"/>
                              <w:marTop w:val="0"/>
                              <w:marBottom w:val="0"/>
                              <w:divBdr>
                                <w:top w:val="none" w:sz="0" w:space="0" w:color="auto"/>
                                <w:left w:val="none" w:sz="0" w:space="0" w:color="auto"/>
                                <w:bottom w:val="none" w:sz="0" w:space="0" w:color="auto"/>
                                <w:right w:val="none" w:sz="0" w:space="0" w:color="auto"/>
                              </w:divBdr>
                              <w:divsChild>
                                <w:div w:id="1167790209">
                                  <w:marLeft w:val="0"/>
                                  <w:marRight w:val="0"/>
                                  <w:marTop w:val="0"/>
                                  <w:marBottom w:val="0"/>
                                  <w:divBdr>
                                    <w:top w:val="none" w:sz="0" w:space="0" w:color="auto"/>
                                    <w:left w:val="none" w:sz="0" w:space="0" w:color="auto"/>
                                    <w:bottom w:val="none" w:sz="0" w:space="0" w:color="auto"/>
                                    <w:right w:val="none" w:sz="0" w:space="0" w:color="auto"/>
                                  </w:divBdr>
                                  <w:divsChild>
                                    <w:div w:id="125844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065772">
      <w:bodyDiv w:val="1"/>
      <w:marLeft w:val="0"/>
      <w:marRight w:val="0"/>
      <w:marTop w:val="0"/>
      <w:marBottom w:val="0"/>
      <w:divBdr>
        <w:top w:val="none" w:sz="0" w:space="0" w:color="auto"/>
        <w:left w:val="none" w:sz="0" w:space="0" w:color="auto"/>
        <w:bottom w:val="none" w:sz="0" w:space="0" w:color="auto"/>
        <w:right w:val="none" w:sz="0" w:space="0" w:color="auto"/>
      </w:divBdr>
      <w:divsChild>
        <w:div w:id="456417730">
          <w:blockQuote w:val="1"/>
          <w:marLeft w:val="120"/>
          <w:marRight w:val="0"/>
          <w:marTop w:val="0"/>
          <w:marBottom w:val="0"/>
          <w:divBdr>
            <w:top w:val="single" w:sz="2" w:space="0" w:color="auto"/>
            <w:left w:val="single" w:sz="24" w:space="6" w:color="auto"/>
            <w:bottom w:val="single" w:sz="2" w:space="0" w:color="auto"/>
            <w:right w:val="single" w:sz="2" w:space="24" w:color="auto"/>
          </w:divBdr>
        </w:div>
      </w:divsChild>
    </w:div>
    <w:div w:id="20206167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15</Pages>
  <Words>5403</Words>
  <Characters>29717</Characters>
  <Application>Microsoft Office Word</Application>
  <DocSecurity>0</DocSecurity>
  <Lines>247</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10</cp:lastModifiedBy>
  <cp:revision>29</cp:revision>
  <dcterms:created xsi:type="dcterms:W3CDTF">2026-07-22T08:55:00Z</dcterms:created>
  <dcterms:modified xsi:type="dcterms:W3CDTF">2026-07-27T12:03:00Z</dcterms:modified>
</cp:coreProperties>
</file>