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start"/>
        <w:rPr/>
      </w:pPr>
      <w:r>
        <w:rPr>
          <w:rFonts w:eastAsia="Times New Roman" w:cs="Times New Roman"/>
          <w:b/>
          <w:bCs/>
          <w:color w:val="1F3864"/>
          <w:sz w:val="48"/>
          <w:szCs w:val="48"/>
        </w:rPr>
        <w:t>Historique et présentation</w:t>
      </w:r>
    </w:p>
    <w:p>
      <w:pPr>
        <w:pStyle w:val="Normal"/>
        <w:spacing w:before="0" w:after="120"/>
        <w:rPr/>
      </w:pPr>
      <w:r>
        <w:rPr>
          <w:rFonts w:eastAsia="Times New Roman" w:cs="Times New Roman"/>
          <w:b/>
          <w:bCs/>
          <w:color w:val="1F3864"/>
          <w:sz w:val="48"/>
          <w:szCs w:val="48"/>
        </w:rPr>
        <w:t>de La Digithèque</w:t>
      </w:r>
    </w:p>
    <w:p>
      <w:pPr>
        <w:pStyle w:val="Normal"/>
        <w:spacing w:before="0" w:after="360"/>
        <w:rPr/>
      </w:pPr>
      <w:r>
        <w:rPr>
          <w:rFonts w:eastAsia="Times New Roman" w:cs="Times New Roman"/>
          <w:i/>
          <w:iCs/>
          <w:sz w:val="24"/>
          <w:szCs w:val="24"/>
        </w:rPr>
        <w:t>Document destiné aux stagiaires, pour leur livre de mémoire</w:t>
      </w:r>
    </w:p>
    <w:p>
      <w:pPr>
        <w:pStyle w:val="Heading1"/>
        <w:spacing w:before="360" w:after="180"/>
        <w:rPr/>
      </w:pPr>
      <w:r>
        <w:rPr>
          <w:rFonts w:eastAsia="Times New Roman" w:cs="Times New Roman" w:ascii="Times New Roman" w:hAnsi="Times New Roman"/>
          <w:b/>
          <w:bCs/>
          <w:color w:val="1F3864"/>
          <w:sz w:val="30"/>
          <w:szCs w:val="30"/>
        </w:rPr>
        <w:t>1. Fiche d’identité</w:t>
      </w:r>
    </w:p>
    <w:tbl>
      <w:tblPr>
        <w:tblW w:w="9026" w:type="dxa"/>
        <w:jc w:val="start"/>
        <w:tblInd w:w="0" w:type="dxa"/>
        <w:tblLayout w:type="fixed"/>
        <w:tblCellMar>
          <w:top w:w="90" w:type="dxa"/>
          <w:start w:w="80" w:type="dxa"/>
          <w:bottom w:w="90" w:type="dxa"/>
          <w:end w:w="120" w:type="dxa"/>
        </w:tblCellMar>
      </w:tblPr>
      <w:tblGrid>
        <w:gridCol w:w="2699"/>
        <w:gridCol w:w="6327"/>
      </w:tblGrid>
      <w:tr>
        <w:trPr/>
        <w:tc>
          <w:tcPr>
            <w:tcW w:w="2699" w:type="dxa"/>
            <w:tcBorders>
              <w:bottom w:val="single" w:sz="4" w:space="0" w:color="BFBFBF"/>
            </w:tcBorders>
          </w:tcPr>
          <w:p>
            <w:pPr>
              <w:pStyle w:val="Normal"/>
              <w:rPr/>
            </w:pPr>
            <w:r>
              <w:rPr>
                <w:rFonts w:eastAsia="Times New Roman" w:cs="Times New Roman"/>
                <w:b/>
                <w:bCs/>
                <w:color w:val="1F3864"/>
                <w:sz w:val="24"/>
                <w:szCs w:val="24"/>
              </w:rPr>
              <w:t>Dénomination</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Digithèque (Digithèque SARL)</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Nature</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Startup spécialisée dans les solutions numériques souveraines, l’intelligence artificielle agentique, la modélisation avancée et la digitalisation de systèmes complexes</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Forme juridique</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Société à Responsabilité Limitée (SARL), régie par le Code de Commerce malgache et la loi n°2003-036</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Siège social</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Lot 0051/B – Ambatotsidikaina, Andrainjato-Nord, Fianarantsoa 301, Madagascar</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Durée de vie prévue</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99 ans à compter de l’immatriculation au Registre du Commerce et des Sociétés</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Exercice social</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Du 1er janvier au 31 décembre</w:t>
            </w:r>
          </w:p>
        </w:tc>
      </w:tr>
      <w:tr>
        <w:trPr/>
        <w:tc>
          <w:tcPr>
            <w:tcW w:w="2699" w:type="dxa"/>
            <w:tcBorders>
              <w:bottom w:val="single" w:sz="4" w:space="0" w:color="BFBFBF"/>
            </w:tcBorders>
          </w:tcPr>
          <w:p>
            <w:pPr>
              <w:pStyle w:val="Normal"/>
              <w:rPr/>
            </w:pPr>
            <w:r>
              <w:rPr>
                <w:rFonts w:eastAsia="Times New Roman" w:cs="Times New Roman"/>
                <w:b/>
                <w:bCs/>
                <w:color w:val="1F3864"/>
                <w:sz w:val="24"/>
                <w:szCs w:val="24"/>
              </w:rPr>
              <w:t>Site web</w:t>
            </w:r>
          </w:p>
        </w:tc>
        <w:tc>
          <w:tcPr>
            <w:tcW w:w="6327" w:type="dxa"/>
            <w:tcBorders>
              <w:bottom w:val="single" w:sz="4" w:space="0" w:color="BFBFBF"/>
            </w:tcBorders>
            <w:tcMar>
              <w:start w:w="120" w:type="dxa"/>
              <w:end w:w="80" w:type="dxa"/>
            </w:tcMar>
          </w:tcPr>
          <w:p>
            <w:pPr>
              <w:pStyle w:val="Normal"/>
              <w:rPr/>
            </w:pPr>
            <w:r>
              <w:rPr>
                <w:rFonts w:eastAsia="Times New Roman" w:cs="Times New Roman"/>
                <w:sz w:val="24"/>
                <w:szCs w:val="24"/>
              </w:rPr>
              <w:t>digitheque.</w:t>
            </w:r>
            <w:r>
              <w:rPr>
                <w:rFonts w:eastAsia="Times New Roman" w:cs="Times New Roman"/>
                <w:sz w:val="24"/>
                <w:szCs w:val="24"/>
              </w:rPr>
              <w:t>net</w:t>
            </w:r>
          </w:p>
        </w:tc>
      </w:tr>
    </w:tbl>
    <w:p>
      <w:pPr>
        <w:pStyle w:val="Heading1"/>
        <w:spacing w:before="360" w:after="180"/>
        <w:rPr/>
      </w:pPr>
      <w:r>
        <w:rPr>
          <w:rFonts w:eastAsia="Times New Roman" w:cs="Times New Roman" w:ascii="Times New Roman" w:hAnsi="Times New Roman"/>
          <w:b/>
          <w:bCs/>
          <w:color w:val="1F3864"/>
          <w:sz w:val="30"/>
          <w:szCs w:val="30"/>
        </w:rPr>
        <w:t>2. Historique : de l’idée à l’entreprise</w:t>
      </w:r>
    </w:p>
    <w:p>
      <w:pPr>
        <w:pStyle w:val="Normal"/>
        <w:spacing w:lineRule="auto" w:line="312" w:before="0" w:after="140"/>
        <w:jc w:val="both"/>
        <w:rPr/>
      </w:pPr>
      <w:r>
        <w:rPr>
          <w:rFonts w:eastAsia="Times New Roman" w:cs="Times New Roman"/>
          <w:b/>
          <w:bCs/>
          <w:sz w:val="24"/>
          <w:szCs w:val="24"/>
        </w:rPr>
        <w:t xml:space="preserve">Une initiative académique. </w:t>
      </w:r>
      <w:r>
        <w:rPr>
          <w:rFonts w:eastAsia="Times New Roman" w:cs="Times New Roman"/>
          <w:sz w:val="24"/>
          <w:szCs w:val="24"/>
        </w:rPr>
        <w:t xml:space="preserve">La Digithèque a été construite par </w:t>
      </w:r>
      <w:r>
        <w:rPr>
          <w:rFonts w:eastAsia="Times New Roman" w:cs="Times New Roman"/>
          <w:sz w:val="24"/>
          <w:szCs w:val="24"/>
        </w:rPr>
        <w:t>des</w:t>
      </w:r>
      <w:r>
        <w:rPr>
          <w:rFonts w:eastAsia="Times New Roman" w:cs="Times New Roman"/>
          <w:sz w:val="24"/>
          <w:szCs w:val="24"/>
        </w:rPr>
        <w:t xml:space="preserve"> Professeur</w:t>
      </w:r>
      <w:r>
        <w:rPr>
          <w:rFonts w:eastAsia="Times New Roman" w:cs="Times New Roman"/>
          <w:sz w:val="24"/>
          <w:szCs w:val="24"/>
        </w:rPr>
        <w:t>s</w:t>
      </w:r>
      <w:r>
        <w:rPr>
          <w:rFonts w:eastAsia="Times New Roman" w:cs="Times New Roman"/>
          <w:sz w:val="24"/>
          <w:szCs w:val="24"/>
        </w:rPr>
        <w:t xml:space="preserve">  </w:t>
      </w:r>
      <w:r>
        <w:rPr>
          <w:rFonts w:eastAsia="Times New Roman" w:cs="Times New Roman"/>
          <w:sz w:val="24"/>
          <w:szCs w:val="24"/>
        </w:rPr>
        <w:t xml:space="preserve"> et des étudiants  chercheurs </w:t>
      </w:r>
      <w:r>
        <w:rPr>
          <w:rFonts w:eastAsia="Times New Roman" w:cs="Times New Roman"/>
          <w:sz w:val="24"/>
          <w:szCs w:val="24"/>
        </w:rPr>
        <w:t>de l’Université de Fianarantsoa,. Elle est née de la rencontre entre l’expérience d</w:t>
      </w:r>
      <w:r>
        <w:rPr>
          <w:rFonts w:eastAsia="Times New Roman" w:cs="Times New Roman"/>
          <w:sz w:val="24"/>
          <w:szCs w:val="24"/>
        </w:rPr>
        <w:t>es</w:t>
      </w:r>
      <w:r>
        <w:rPr>
          <w:rFonts w:eastAsia="Times New Roman" w:cs="Times New Roman"/>
          <w:sz w:val="24"/>
          <w:szCs w:val="24"/>
        </w:rPr>
        <w:t xml:space="preserve"> enseignant</w:t>
      </w:r>
      <w:r>
        <w:rPr>
          <w:rFonts w:eastAsia="Times New Roman" w:cs="Times New Roman"/>
          <w:sz w:val="24"/>
          <w:szCs w:val="24"/>
        </w:rPr>
        <w:t>s</w:t>
      </w:r>
      <w:r>
        <w:rPr>
          <w:rFonts w:eastAsia="Times New Roman" w:cs="Times New Roman"/>
          <w:sz w:val="24"/>
          <w:szCs w:val="24"/>
        </w:rPr>
        <w:t>-chercheur</w:t>
      </w:r>
      <w:r>
        <w:rPr>
          <w:rFonts w:eastAsia="Times New Roman" w:cs="Times New Roman"/>
          <w:sz w:val="24"/>
          <w:szCs w:val="24"/>
        </w:rPr>
        <w:t>s</w:t>
      </w:r>
      <w:r>
        <w:rPr>
          <w:rFonts w:eastAsia="Times New Roman" w:cs="Times New Roman"/>
          <w:sz w:val="24"/>
          <w:szCs w:val="24"/>
        </w:rPr>
        <w:t xml:space="preserve"> et l’énergie de jeunes talents. Ses équipes mobilisent des compétences en mathématiques, informatique, statistique, économie et gestion. Ce positionnement, à l’interface de la recherche académique et de l’innovation appliquée, est l’un des fondements de son développement.</w:t>
      </w:r>
    </w:p>
    <w:p>
      <w:pPr>
        <w:pStyle w:val="Normal"/>
        <w:spacing w:lineRule="auto" w:line="312" w:before="0" w:after="140"/>
        <w:jc w:val="both"/>
        <w:rPr/>
      </w:pPr>
      <w:r>
        <w:rPr>
          <w:rFonts w:eastAsia="Times New Roman" w:cs="Times New Roman"/>
          <w:b/>
          <w:bCs/>
          <w:sz w:val="24"/>
          <w:szCs w:val="24"/>
        </w:rPr>
        <w:t xml:space="preserve">Des débuts modestes (septembre 2025). </w:t>
      </w:r>
      <w:r>
        <w:rPr>
          <w:rFonts w:eastAsia="Times New Roman" w:cs="Times New Roman"/>
          <w:sz w:val="24"/>
          <w:szCs w:val="24"/>
        </w:rPr>
        <w:t>Les premières activités démarrent avec des moyens limités : des ordinateurs personnels apportés par les étudiants, un dortoir, une salle de formation interne, trois pièces dédiées aux ateliers de travail et une connexion Starlink. L’esprit de départ est celui d’un lieu où l’on apprend en construisant de vrais projets.</w:t>
      </w:r>
    </w:p>
    <w:p>
      <w:pPr>
        <w:pStyle w:val="Normal"/>
        <w:spacing w:lineRule="auto" w:line="312" w:before="0" w:after="140"/>
        <w:jc w:val="both"/>
        <w:rPr/>
      </w:pPr>
      <w:r>
        <w:rPr>
          <w:rFonts w:eastAsia="Times New Roman" w:cs="Times New Roman"/>
          <w:b/>
          <w:bCs/>
          <w:sz w:val="24"/>
          <w:szCs w:val="24"/>
        </w:rPr>
        <w:t xml:space="preserve">La structuration juridique (début 2026). </w:t>
      </w:r>
      <w:r>
        <w:rPr>
          <w:rFonts w:eastAsia="Times New Roman" w:cs="Times New Roman"/>
          <w:sz w:val="24"/>
          <w:szCs w:val="24"/>
        </w:rPr>
        <w:t>La Digithèque se constitue officiellement en SARL. Elle se dote de statuts, d’une gérance et d’une durée de vie de 99 ans, ce qui traduit une ambition de long terme : une structure pensée pour accueillir plusieurs générations de talents.</w:t>
      </w:r>
    </w:p>
    <w:p>
      <w:pPr>
        <w:pStyle w:val="Heading2"/>
        <w:keepNext w:val="true"/>
        <w:spacing w:before="240" w:after="120"/>
        <w:rPr/>
      </w:pPr>
      <w:r>
        <w:rPr>
          <w:rFonts w:eastAsia="Times New Roman" w:cs="Times New Roman" w:ascii="Times New Roman" w:hAnsi="Times New Roman"/>
          <w:b/>
          <w:bCs/>
          <w:color w:val="1F3864"/>
          <w:sz w:val="26"/>
          <w:szCs w:val="26"/>
        </w:rPr>
        <w:t>Le plan de développement 2026–2027</w:t>
      </w:r>
    </w:p>
    <w:p>
      <w:pPr>
        <w:pStyle w:val="Normal"/>
        <w:keepNext w:val="true"/>
        <w:spacing w:lineRule="auto" w:line="312" w:before="0" w:after="140"/>
        <w:jc w:val="both"/>
        <w:rPr/>
      </w:pPr>
      <w:r>
        <w:rPr>
          <w:rFonts w:eastAsia="Times New Roman" w:cs="Times New Roman"/>
          <w:sz w:val="24"/>
          <w:szCs w:val="24"/>
        </w:rPr>
        <w:t>La stratégie se déroule en trois phases :</w:t>
      </w:r>
    </w:p>
    <w:p>
      <w:pPr>
        <w:pStyle w:val="ListParagraph"/>
        <w:keepLines/>
        <w:numPr>
          <w:ilvl w:val="0"/>
          <w:numId w:val="5"/>
        </w:numPr>
        <w:spacing w:lineRule="auto" w:line="300" w:before="0" w:after="100"/>
        <w:jc w:val="both"/>
        <w:rPr/>
      </w:pPr>
      <w:r>
        <w:rPr>
          <w:rFonts w:eastAsia="Times New Roman" w:cs="Times New Roman"/>
          <w:b/>
          <w:bCs/>
          <w:sz w:val="24"/>
          <w:szCs w:val="24"/>
        </w:rPr>
        <w:t xml:space="preserve">Structuration (avril à juillet 2026) : </w:t>
      </w:r>
      <w:r>
        <w:rPr>
          <w:rFonts w:eastAsia="Times New Roman" w:cs="Times New Roman"/>
          <w:sz w:val="24"/>
          <w:szCs w:val="24"/>
        </w:rPr>
        <w:t>consolidation des projets existants, mise en place de la gérance et des directions, activation du programme philanthropique et du pôle Incubation.</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Stabilisation (août à décembre 2026) : </w:t>
      </w:r>
      <w:r>
        <w:rPr>
          <w:rFonts w:eastAsia="Times New Roman" w:cs="Times New Roman"/>
          <w:sz w:val="24"/>
          <w:szCs w:val="24"/>
        </w:rPr>
        <w:t>consolidation des partenariats institutionnels et développement des services incubés.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Expansion (janvier à juin 2027) : </w:t>
      </w:r>
      <w:r>
        <w:rPr>
          <w:rFonts w:eastAsia="Times New Roman" w:cs="Times New Roman"/>
          <w:sz w:val="24"/>
          <w:szCs w:val="24"/>
        </w:rPr>
        <w:t>prospection internationale et extension des activités.</w:t>
      </w:r>
    </w:p>
    <w:p>
      <w:pPr>
        <w:pStyle w:val="Normal"/>
        <w:spacing w:lineRule="auto" w:line="312" w:before="140" w:after="140"/>
        <w:jc w:val="both"/>
        <w:rPr/>
      </w:pPr>
      <w:r>
        <w:rPr>
          <w:rFonts w:eastAsia="Times New Roman" w:cs="Times New Roman"/>
          <w:sz w:val="24"/>
          <w:szCs w:val="24"/>
        </w:rPr>
        <w:t>Pour accompagner cette croissance, la Digithèque prévoit de s’équiper progressivement : serveurs, mini data center interne, nouvelles salles de travail et de formation, connexion satellitaire renforcée avec une solution de secours, et ouverture d’une annexe à Antananarivo, au cœur des principaux partenaires institutionnels et économiques. Elle prévoit aussi de réunir d’ici juillet 2026 une équipe d’environ 100 jeunes collaborateurs, dont environ 80 % de profils techniques et 20 % de compétences transversales.</w:t>
      </w:r>
    </w:p>
    <w:p>
      <w:pPr>
        <w:pStyle w:val="Heading1"/>
        <w:spacing w:before="360" w:after="180"/>
        <w:rPr/>
      </w:pPr>
      <w:r>
        <w:rPr>
          <w:rFonts w:eastAsia="Times New Roman" w:cs="Times New Roman" w:ascii="Times New Roman" w:hAnsi="Times New Roman"/>
          <w:b/>
          <w:bCs/>
          <w:color w:val="1F3864"/>
          <w:sz w:val="30"/>
          <w:szCs w:val="30"/>
        </w:rPr>
        <w:t>3. Mission, objectifs et valeurs</w:t>
      </w:r>
    </w:p>
    <w:p>
      <w:pPr>
        <w:pStyle w:val="Heading2"/>
        <w:keepNext w:val="true"/>
        <w:spacing w:before="240" w:after="120"/>
        <w:rPr/>
      </w:pPr>
      <w:r>
        <w:rPr>
          <w:rFonts w:eastAsia="Times New Roman" w:cs="Times New Roman" w:ascii="Times New Roman" w:hAnsi="Times New Roman"/>
          <w:b/>
          <w:bCs/>
          <w:color w:val="1F3864"/>
          <w:sz w:val="26"/>
          <w:szCs w:val="26"/>
        </w:rPr>
        <w:t>Mission</w:t>
      </w:r>
    </w:p>
    <w:p>
      <w:pPr>
        <w:pStyle w:val="Normal"/>
        <w:spacing w:lineRule="auto" w:line="312" w:before="0" w:after="140"/>
        <w:jc w:val="both"/>
        <w:rPr/>
      </w:pPr>
      <w:r>
        <w:rPr>
          <w:rFonts w:eastAsia="Times New Roman" w:cs="Times New Roman"/>
          <w:sz w:val="24"/>
          <w:szCs w:val="24"/>
        </w:rPr>
        <w:t>Allier innovation technologique, rigueur scientifique, impact social et responsabilité institutionnelle, afin de contribuer au développement durable des écosystèmes numériques en Afrique, en Europe et au-delà.</w:t>
      </w:r>
    </w:p>
    <w:p>
      <w:pPr>
        <w:pStyle w:val="Heading2"/>
        <w:keepNext w:val="true"/>
        <w:spacing w:before="240" w:after="120"/>
        <w:rPr/>
      </w:pPr>
      <w:r>
        <w:rPr>
          <w:rFonts w:eastAsia="Times New Roman" w:cs="Times New Roman" w:ascii="Times New Roman" w:hAnsi="Times New Roman"/>
          <w:b/>
          <w:bCs/>
          <w:color w:val="1F3864"/>
          <w:sz w:val="26"/>
          <w:szCs w:val="26"/>
        </w:rPr>
        <w:t>Objectifs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Concevoir des solutions numériques et d’intelligence artificielle : </w:t>
      </w:r>
      <w:r>
        <w:rPr>
          <w:rFonts w:eastAsia="Times New Roman" w:cs="Times New Roman"/>
          <w:sz w:val="24"/>
          <w:szCs w:val="24"/>
        </w:rPr>
        <w:t>conception, développement, intégration, exploitation, maintenance et commercialisation de solutions logicielles, numériques et technologiques, avec un accent sur l’IA agentique, la cybersécurité et l’ingénierie logicielle.</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Accompagner par l’expertise : </w:t>
      </w:r>
      <w:r>
        <w:rPr>
          <w:rFonts w:eastAsia="Times New Roman" w:cs="Times New Roman"/>
          <w:sz w:val="24"/>
          <w:szCs w:val="24"/>
        </w:rPr>
        <w:t>ingénierie, recherche et développement, traitement et analyse de données, conseil, audit, assistance technique et accompagnement technologique.</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Former et transmettre : </w:t>
      </w:r>
      <w:r>
        <w:rPr>
          <w:rFonts w:eastAsia="Times New Roman" w:cs="Times New Roman"/>
          <w:sz w:val="24"/>
          <w:szCs w:val="24"/>
        </w:rPr>
        <w:t>contenus pédagogiques, supports de formation, actions de formation, d’enseignement et d’accompagnement académique ou professionnel. La Digithèque prépare notamment un programme de Hautes Études en Numérique et en Finance.</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Protéger et valoriser l’innovation : </w:t>
      </w:r>
      <w:r>
        <w:rPr>
          <w:rFonts w:eastAsia="Times New Roman" w:cs="Times New Roman"/>
          <w:sz w:val="24"/>
          <w:szCs w:val="24"/>
        </w:rPr>
        <w:t>valorisation et protection des droits de propriété intellectuelle issus de ses travaux.</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Digitaliser les institutions : </w:t>
      </w:r>
      <w:r>
        <w:rPr>
          <w:rFonts w:eastAsia="Times New Roman" w:cs="Times New Roman"/>
          <w:sz w:val="24"/>
          <w:szCs w:val="24"/>
        </w:rPr>
        <w:t>moderniser les services publics et les outils numériques des grandes organisations, dans les domaines de l’éducation, de la santé, de la finance et des télécommunications.</w:t>
      </w:r>
    </w:p>
    <w:p>
      <w:pPr>
        <w:pStyle w:val="Heading2"/>
        <w:keepNext w:val="true"/>
        <w:spacing w:before="240" w:after="120"/>
        <w:rPr/>
      </w:pPr>
      <w:r>
        <w:rPr>
          <w:rFonts w:eastAsia="Times New Roman" w:cs="Times New Roman" w:ascii="Times New Roman" w:hAnsi="Times New Roman"/>
          <w:b/>
          <w:bCs/>
          <w:color w:val="1F3864"/>
          <w:sz w:val="26"/>
          <w:szCs w:val="26"/>
        </w:rPr>
        <w:t>Quatre dimensions de valeur</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Scientifique : </w:t>
      </w:r>
      <w:r>
        <w:rPr>
          <w:rFonts w:eastAsia="Times New Roman" w:cs="Times New Roman"/>
          <w:sz w:val="24"/>
          <w:szCs w:val="24"/>
        </w:rPr>
        <w:t>des solutions fondées sur la théorie des jeux, les modèles épistémiques et les approches formelles de la décision algorithmique, pour construire des agents intelligents fiables et transparents.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Technologique : </w:t>
      </w:r>
      <w:r>
        <w:rPr>
          <w:rFonts w:eastAsia="Times New Roman" w:cs="Times New Roman"/>
          <w:sz w:val="24"/>
          <w:szCs w:val="24"/>
        </w:rPr>
        <w:t>des solutions souveraines, modulaires et sécurisées, adaptées aux infrastructures locales.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Institutionnelle : </w:t>
      </w:r>
      <w:r>
        <w:rPr>
          <w:rFonts w:eastAsia="Times New Roman" w:cs="Times New Roman"/>
          <w:sz w:val="24"/>
          <w:szCs w:val="24"/>
        </w:rPr>
        <w:t>une bonne compréhension des organisations complexes, avec interopérabilité, traçabilité et respect des cadres réglementaires.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Humanitaire et d’entraide : </w:t>
      </w:r>
      <w:r>
        <w:rPr>
          <w:rFonts w:eastAsia="Times New Roman" w:cs="Times New Roman"/>
          <w:sz w:val="24"/>
          <w:szCs w:val="24"/>
        </w:rPr>
        <w:t>un engagement pour l’égalité des chances, l’accessibilité au numérique, la formation de cadres locaux et l’émergence d’une communauté scientifique durable.</w:t>
      </w:r>
    </w:p>
    <w:p>
      <w:pPr>
        <w:pStyle w:val="Heading2"/>
        <w:keepNext w:val="true"/>
        <w:spacing w:before="240" w:after="120"/>
        <w:rPr/>
      </w:pPr>
      <w:r>
        <w:rPr>
          <w:rFonts w:eastAsia="Times New Roman" w:cs="Times New Roman" w:ascii="Times New Roman" w:hAnsi="Times New Roman"/>
          <w:b/>
          <w:bCs/>
          <w:color w:val="1F3864"/>
          <w:sz w:val="26"/>
          <w:szCs w:val="26"/>
        </w:rPr>
        <w:t>Une mission sociale</w:t>
      </w:r>
    </w:p>
    <w:p>
      <w:pPr>
        <w:pStyle w:val="Normal"/>
        <w:spacing w:lineRule="auto" w:line="312" w:before="0" w:after="140"/>
        <w:jc w:val="both"/>
        <w:rPr/>
      </w:pPr>
      <w:r>
        <w:rPr>
          <w:rFonts w:eastAsia="Times New Roman" w:cs="Times New Roman"/>
          <w:sz w:val="24"/>
          <w:szCs w:val="24"/>
        </w:rPr>
        <w:t>La Digithèque soutient la montée en compétence des jeunes talents, dans un esprit d’équité, de transparence et de méritocratie. On y reconnaît l’engagement, l’implication et la performance, et aucun apport purement financier ne donne accès au capital : on s’y fait une place par le travail.</w:t>
      </w:r>
    </w:p>
    <w:p>
      <w:pPr>
        <w:pStyle w:val="Heading2"/>
        <w:keepNext w:val="true"/>
        <w:spacing w:before="240" w:after="120"/>
        <w:rPr/>
      </w:pPr>
      <w:r>
        <w:rPr>
          <w:rFonts w:eastAsia="Times New Roman" w:cs="Times New Roman" w:ascii="Times New Roman" w:hAnsi="Times New Roman"/>
          <w:b/>
          <w:bCs/>
          <w:color w:val="1F3864"/>
          <w:sz w:val="26"/>
          <w:szCs w:val="26"/>
        </w:rPr>
        <w:t>Valeurs et engagements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Confidentialité : </w:t>
      </w:r>
      <w:r>
        <w:rPr>
          <w:rFonts w:eastAsia="Times New Roman" w:cs="Times New Roman"/>
          <w:sz w:val="24"/>
          <w:szCs w:val="24"/>
        </w:rPr>
        <w:t>les informations, données, méthodes et éléments stratégiques sont protégés.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Loyauté : </w:t>
      </w:r>
      <w:r>
        <w:rPr>
          <w:rFonts w:eastAsia="Times New Roman" w:cs="Times New Roman"/>
          <w:sz w:val="24"/>
          <w:szCs w:val="24"/>
        </w:rPr>
        <w:t>chacun agit dans l’intérêt de la société.</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Intégrité et image : </w:t>
      </w:r>
      <w:r>
        <w:rPr>
          <w:rFonts w:eastAsia="Times New Roman" w:cs="Times New Roman"/>
          <w:sz w:val="24"/>
          <w:szCs w:val="24"/>
        </w:rPr>
        <w:t>tout document officiel porte le logo de la Digithèque et ses mentions d’identification obligatoires.</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Rigueur et éthique professionnelle </w:t>
      </w:r>
      <w:r>
        <w:rPr>
          <w:rFonts w:eastAsia="Times New Roman" w:cs="Times New Roman"/>
          <w:sz w:val="24"/>
          <w:szCs w:val="24"/>
        </w:rPr>
        <w:t>dans tous les projets.</w:t>
      </w:r>
      <w:r>
        <w:br w:type="page"/>
      </w:r>
    </w:p>
    <w:p>
      <w:pPr>
        <w:pStyle w:val="Heading1"/>
        <w:spacing w:before="360" w:after="180"/>
        <w:rPr/>
      </w:pPr>
      <w:r>
        <w:rPr>
          <w:rFonts w:eastAsia="Times New Roman" w:cs="Times New Roman" w:ascii="Times New Roman" w:hAnsi="Times New Roman"/>
          <w:b/>
          <w:bCs/>
          <w:color w:val="1F3864"/>
          <w:sz w:val="30"/>
          <w:szCs w:val="30"/>
        </w:rPr>
        <w:t>4. Organisation et fonctionnement</w:t>
      </w:r>
    </w:p>
    <w:p>
      <w:pPr>
        <w:pStyle w:val="Heading2"/>
        <w:keepNext w:val="true"/>
        <w:spacing w:before="240" w:after="120"/>
        <w:rPr/>
      </w:pPr>
      <w:r>
        <w:rPr>
          <w:rFonts w:eastAsia="Times New Roman" w:cs="Times New Roman" w:ascii="Times New Roman" w:hAnsi="Times New Roman"/>
          <w:b/>
          <w:bCs/>
          <w:color w:val="1F3864"/>
          <w:sz w:val="26"/>
          <w:szCs w:val="26"/>
        </w:rPr>
        <w:t>Organigramme</w:t>
      </w:r>
    </w:p>
    <w:p>
      <w:pPr>
        <w:pStyle w:val="Normal"/>
        <w:spacing w:before="120" w:after="200"/>
        <w:jc w:val="center"/>
        <w:rPr/>
      </w:pPr>
      <w:r>
        <w:rPr/>
        <w:drawing>
          <wp:inline distT="0" distB="0" distL="0" distR="0">
            <wp:extent cx="5715000" cy="3209925"/>
            <wp:effectExtent l="0" t="0" r="0" b="0"/>
            <wp:docPr id="1" name="organigramme" descr="Organigramme de La Digithèque" title="Organi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ganigramme" descr="Organigramme de La Digithèque" title="Organigramme"/>
                    <pic:cNvPicPr>
                      <a:picLocks noChangeAspect="1" noChangeArrowheads="1"/>
                    </pic:cNvPicPr>
                  </pic:nvPicPr>
                  <pic:blipFill>
                    <a:blip r:embed="rId2"/>
                    <a:stretch>
                      <a:fillRect/>
                    </a:stretch>
                  </pic:blipFill>
                  <pic:spPr bwMode="auto">
                    <a:xfrm>
                      <a:off x="0" y="0"/>
                      <a:ext cx="5715000" cy="320992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color w:val="1F3864"/>
          <w:sz w:val="26"/>
          <w:szCs w:val="26"/>
        </w:rPr>
        <w:t>La direction</w:t>
      </w:r>
    </w:p>
    <w:p>
      <w:pPr>
        <w:pStyle w:val="Normal"/>
        <w:spacing w:lineRule="auto" w:line="312" w:before="0" w:after="140"/>
        <w:jc w:val="both"/>
        <w:rPr/>
      </w:pPr>
      <w:r>
        <w:rPr>
          <w:rFonts w:eastAsia="Times New Roman" w:cs="Times New Roman"/>
          <w:b/>
          <w:bCs/>
          <w:sz w:val="24"/>
          <w:szCs w:val="24"/>
        </w:rPr>
        <w:t>La Gérance</w:t>
      </w:r>
      <w:r>
        <w:rPr>
          <w:rFonts w:eastAsia="Times New Roman" w:cs="Times New Roman"/>
          <w:sz w:val="24"/>
          <w:szCs w:val="24"/>
        </w:rPr>
        <w:t xml:space="preserve"> est responsable de la vision, de l’orientation stratégique, de la coordination générale et de la supervision des politiques internes. Elle représente l’entreprise et valide les projets, les partenariats et les engagements contractuels. Le gérant principal est M. François-Lévy DAWIDSON, son mandat est de trois ans renouvelable, et il est assisté d’un adjoint, M. ANDRIARIMANANA Zo Henintsoa Marcello.</w:t>
      </w:r>
    </w:p>
    <w:p>
      <w:pPr>
        <w:pStyle w:val="Normal"/>
        <w:spacing w:lineRule="auto" w:line="312" w:before="0" w:after="140"/>
        <w:jc w:val="both"/>
        <w:rPr/>
      </w:pPr>
      <w:r>
        <w:rPr>
          <w:rFonts w:eastAsia="Times New Roman" w:cs="Times New Roman"/>
          <w:b/>
          <w:bCs/>
          <w:sz w:val="24"/>
          <w:szCs w:val="24"/>
        </w:rPr>
        <w:t>L’Assistante de Direction</w:t>
      </w:r>
      <w:r>
        <w:rPr>
          <w:rFonts w:eastAsia="Times New Roman" w:cs="Times New Roman"/>
          <w:sz w:val="24"/>
          <w:szCs w:val="24"/>
        </w:rPr>
        <w:t xml:space="preserve"> occupe une position transversale auprès de la direction. Elle intervient dans les quatre pôles.</w:t>
      </w:r>
    </w:p>
    <w:p>
      <w:pPr>
        <w:pStyle w:val="Heading2"/>
        <w:keepNext w:val="true"/>
        <w:spacing w:before="240" w:after="120"/>
        <w:rPr/>
      </w:pPr>
      <w:r>
        <w:rPr>
          <w:rFonts w:eastAsia="Times New Roman" w:cs="Times New Roman" w:ascii="Times New Roman" w:hAnsi="Times New Roman"/>
          <w:b/>
          <w:bCs/>
          <w:color w:val="1F3864"/>
          <w:sz w:val="26"/>
          <w:szCs w:val="26"/>
        </w:rPr>
        <w:t>Les quatre pôles stratégiques</w:t>
      </w:r>
    </w:p>
    <w:p>
      <w:pPr>
        <w:pStyle w:val="Normal"/>
        <w:spacing w:lineRule="auto" w:line="312" w:before="0" w:after="140"/>
        <w:jc w:val="both"/>
        <w:rPr/>
      </w:pPr>
      <w:r>
        <w:rPr>
          <w:rFonts w:eastAsia="Times New Roman" w:cs="Times New Roman"/>
          <w:sz w:val="24"/>
          <w:szCs w:val="24"/>
        </w:rPr>
        <w:t>Les quatre pôles sont placés au même niveau. Cette égalité de statut renforce la collégialité et la transversalité. Ils couvrent toute la chaîne de valeur numérique, de la recherche fondamentale à l’industrialisation des applications.</w:t>
      </w:r>
    </w:p>
    <w:p>
      <w:pPr>
        <w:pStyle w:val="ListParagraph"/>
        <w:keepLines/>
        <w:numPr>
          <w:ilvl w:val="0"/>
          <w:numId w:val="6"/>
        </w:numPr>
        <w:spacing w:lineRule="auto" w:line="300" w:before="0" w:after="100"/>
        <w:jc w:val="both"/>
        <w:rPr/>
      </w:pPr>
      <w:r>
        <w:rPr>
          <w:rFonts w:eastAsia="Times New Roman" w:cs="Times New Roman"/>
          <w:b/>
          <w:bCs/>
          <w:sz w:val="24"/>
          <w:szCs w:val="24"/>
        </w:rPr>
        <w:t xml:space="preserve">Pôle Technologies et Innovation : </w:t>
      </w:r>
      <w:r>
        <w:rPr>
          <w:rFonts w:eastAsia="Times New Roman" w:cs="Times New Roman"/>
          <w:sz w:val="24"/>
          <w:szCs w:val="24"/>
        </w:rPr>
        <w:t>le noyau de recherche et développement. Il comprend l’intelligence artificielle agentique, la cybersécurité, l’ingénierie logicielle et les infrastructures de données. Il conçoit les modèles scientifiques, les architectures techniques et les agents IA.</w:t>
      </w:r>
    </w:p>
    <w:p>
      <w:pPr>
        <w:pStyle w:val="ListParagraph"/>
        <w:keepLines/>
        <w:numPr>
          <w:ilvl w:val="0"/>
          <w:numId w:val="2"/>
        </w:numPr>
        <w:spacing w:lineRule="auto" w:line="300" w:before="0" w:after="100"/>
        <w:jc w:val="both"/>
        <w:rPr/>
      </w:pPr>
      <w:r>
        <w:rPr>
          <w:rFonts w:eastAsia="Times New Roman" w:cs="Times New Roman"/>
          <w:b/>
          <w:bCs/>
          <w:sz w:val="24"/>
          <w:szCs w:val="24"/>
        </w:rPr>
        <w:t xml:space="preserve">Pôle Solutions et Industries : </w:t>
      </w:r>
      <w:r>
        <w:rPr>
          <w:rFonts w:eastAsia="Times New Roman" w:cs="Times New Roman"/>
          <w:sz w:val="24"/>
          <w:szCs w:val="24"/>
        </w:rPr>
        <w:t>il conçoit et déploie des systèmes numériques appliqués, sans restriction sectorielle. Il identifie les besoins, prospecte les institutions, rédige les spécifications fonctionnelles et gère la relation avec les partenaires.</w:t>
      </w:r>
    </w:p>
    <w:p>
      <w:pPr>
        <w:pStyle w:val="ListParagraph"/>
        <w:keepLines/>
        <w:numPr>
          <w:ilvl w:val="0"/>
          <w:numId w:val="2"/>
        </w:numPr>
        <w:spacing w:lineRule="auto" w:line="300" w:before="0" w:after="100"/>
        <w:jc w:val="both"/>
        <w:rPr/>
      </w:pPr>
      <w:r>
        <w:rPr>
          <w:rFonts w:eastAsia="Times New Roman" w:cs="Times New Roman"/>
          <w:b/>
          <w:bCs/>
          <w:sz w:val="24"/>
          <w:szCs w:val="24"/>
        </w:rPr>
        <w:t xml:space="preserve">Pôle Formations et Philanthropique : </w:t>
      </w:r>
      <w:r>
        <w:rPr>
          <w:rFonts w:eastAsia="Times New Roman" w:cs="Times New Roman"/>
          <w:sz w:val="24"/>
          <w:szCs w:val="24"/>
        </w:rPr>
        <w:t>il regroupe les activités à but non lucratif : bourses, accompagnement académique, encadrement de mémoires, conférences, production scientifique et formations avancées. C’est l’espace de développement humain et académique de la Digithèque.</w:t>
      </w:r>
    </w:p>
    <w:p>
      <w:pPr>
        <w:pStyle w:val="ListParagraph"/>
        <w:keepLines/>
        <w:numPr>
          <w:ilvl w:val="0"/>
          <w:numId w:val="2"/>
        </w:numPr>
        <w:spacing w:lineRule="auto" w:line="300" w:before="0" w:after="100"/>
        <w:jc w:val="both"/>
        <w:rPr/>
      </w:pPr>
      <w:r>
        <w:rPr>
          <w:rFonts w:eastAsia="Times New Roman" w:cs="Times New Roman"/>
          <w:b/>
          <w:bCs/>
          <w:sz w:val="24"/>
          <w:szCs w:val="24"/>
        </w:rPr>
        <w:t xml:space="preserve">Pôle Services Numériques et Incubation : </w:t>
      </w:r>
      <w:r>
        <w:rPr>
          <w:rFonts w:eastAsia="Times New Roman" w:cs="Times New Roman"/>
          <w:sz w:val="24"/>
          <w:szCs w:val="24"/>
        </w:rPr>
        <w:t>il développe des services numériques pour le grand public (plateformes de location, de vente, services pratiques, applications d’usage général). Il joue un rôle d’incubateur pour le prototypage et l’expérimentation.</w:t>
      </w:r>
    </w:p>
    <w:p>
      <w:pPr>
        <w:pStyle w:val="Heading2"/>
        <w:keepNext w:val="true"/>
        <w:spacing w:before="240" w:after="120"/>
        <w:rPr/>
      </w:pPr>
      <w:r>
        <w:rPr>
          <w:rFonts w:eastAsia="Times New Roman" w:cs="Times New Roman" w:ascii="Times New Roman" w:hAnsi="Times New Roman"/>
          <w:b/>
          <w:bCs/>
          <w:color w:val="1F3864"/>
          <w:sz w:val="26"/>
          <w:szCs w:val="26"/>
        </w:rPr>
        <w:t>Comment les pôles travaillent ensemble</w:t>
      </w:r>
    </w:p>
    <w:p>
      <w:pPr>
        <w:pStyle w:val="Normal"/>
        <w:keepNext w:val="true"/>
        <w:spacing w:lineRule="auto" w:line="312" w:before="0" w:after="140"/>
        <w:jc w:val="both"/>
        <w:rPr/>
      </w:pPr>
      <w:r>
        <w:rPr>
          <w:rFonts w:eastAsia="Times New Roman" w:cs="Times New Roman"/>
          <w:sz w:val="24"/>
          <w:szCs w:val="24"/>
        </w:rPr>
        <w:t>Un projet institutionnel suit cinq étapes. Il n’est lancé qu’après l’identification formelle d’un besoin et un accord avec le client. Les projets du pôle Incubation sont la seule exception, car ils peuvent naître sans demande extérieure.</w:t>
      </w:r>
    </w:p>
    <w:p>
      <w:pPr>
        <w:pStyle w:val="ListParagraph"/>
        <w:keepLines/>
        <w:numPr>
          <w:ilvl w:val="0"/>
          <w:numId w:val="7"/>
        </w:numPr>
        <w:spacing w:lineRule="auto" w:line="300" w:before="0" w:after="100"/>
        <w:jc w:val="both"/>
        <w:rPr/>
      </w:pPr>
      <w:r>
        <w:rPr>
          <w:rFonts w:eastAsia="Times New Roman" w:cs="Times New Roman"/>
          <w:b/>
          <w:bCs/>
          <w:sz w:val="24"/>
          <w:szCs w:val="24"/>
        </w:rPr>
        <w:t xml:space="preserve">Prospection et identification des besoins, </w:t>
      </w:r>
      <w:r>
        <w:rPr>
          <w:rFonts w:eastAsia="Times New Roman" w:cs="Times New Roman"/>
          <w:sz w:val="24"/>
          <w:szCs w:val="24"/>
        </w:rPr>
        <w:t>menées par le pôle Solutions et Industries.</w:t>
      </w:r>
    </w:p>
    <w:p>
      <w:pPr>
        <w:pStyle w:val="ListParagraph"/>
        <w:keepLines/>
        <w:numPr>
          <w:ilvl w:val="0"/>
          <w:numId w:val="3"/>
        </w:numPr>
        <w:spacing w:lineRule="auto" w:line="300" w:before="0" w:after="100"/>
        <w:jc w:val="both"/>
        <w:rPr/>
      </w:pPr>
      <w:r>
        <w:rPr>
          <w:rFonts w:eastAsia="Times New Roman" w:cs="Times New Roman"/>
          <w:b/>
          <w:bCs/>
          <w:sz w:val="24"/>
          <w:szCs w:val="24"/>
        </w:rPr>
        <w:t xml:space="preserve">Validation et contractualisation : </w:t>
      </w:r>
      <w:r>
        <w:rPr>
          <w:rFonts w:eastAsia="Times New Roman" w:cs="Times New Roman"/>
          <w:sz w:val="24"/>
          <w:szCs w:val="24"/>
        </w:rPr>
        <w:t>cadrage avec le client, puis protocole d’accord (MoU) ou contrat.</w:t>
      </w:r>
    </w:p>
    <w:p>
      <w:pPr>
        <w:pStyle w:val="ListParagraph"/>
        <w:keepLines/>
        <w:numPr>
          <w:ilvl w:val="0"/>
          <w:numId w:val="3"/>
        </w:numPr>
        <w:spacing w:lineRule="auto" w:line="300" w:before="0" w:after="100"/>
        <w:jc w:val="both"/>
        <w:rPr/>
      </w:pPr>
      <w:r>
        <w:rPr>
          <w:rFonts w:eastAsia="Times New Roman" w:cs="Times New Roman"/>
          <w:b/>
          <w:bCs/>
          <w:sz w:val="24"/>
          <w:szCs w:val="24"/>
        </w:rPr>
        <w:t xml:space="preserve">Spécification et architecture : </w:t>
      </w:r>
      <w:r>
        <w:rPr>
          <w:rFonts w:eastAsia="Times New Roman" w:cs="Times New Roman"/>
          <w:sz w:val="24"/>
          <w:szCs w:val="24"/>
        </w:rPr>
        <w:t>les quatre pôles interviennent chacun selon son expertise.</w:t>
      </w:r>
    </w:p>
    <w:p>
      <w:pPr>
        <w:pStyle w:val="ListParagraph"/>
        <w:keepLines/>
        <w:numPr>
          <w:ilvl w:val="0"/>
          <w:numId w:val="3"/>
        </w:numPr>
        <w:spacing w:lineRule="auto" w:line="300" w:before="0" w:after="100"/>
        <w:jc w:val="both"/>
        <w:rPr/>
      </w:pPr>
      <w:r>
        <w:rPr>
          <w:rFonts w:eastAsia="Times New Roman" w:cs="Times New Roman"/>
          <w:b/>
          <w:bCs/>
          <w:sz w:val="24"/>
          <w:szCs w:val="24"/>
        </w:rPr>
        <w:t xml:space="preserve">Développement, intégration et mise en œuvre, </w:t>
      </w:r>
      <w:r>
        <w:rPr>
          <w:rFonts w:eastAsia="Times New Roman" w:cs="Times New Roman"/>
          <w:sz w:val="24"/>
          <w:szCs w:val="24"/>
        </w:rPr>
        <w:t>avec la formation des équipes et la documentation.</w:t>
      </w:r>
    </w:p>
    <w:p>
      <w:pPr>
        <w:pStyle w:val="ListParagraph"/>
        <w:keepLines/>
        <w:numPr>
          <w:ilvl w:val="0"/>
          <w:numId w:val="3"/>
        </w:numPr>
        <w:spacing w:lineRule="auto" w:line="300" w:before="0" w:after="100"/>
        <w:jc w:val="both"/>
        <w:rPr/>
      </w:pPr>
      <w:r>
        <w:rPr>
          <w:rFonts w:eastAsia="Times New Roman" w:cs="Times New Roman"/>
          <w:b/>
          <w:bCs/>
          <w:sz w:val="24"/>
          <w:szCs w:val="24"/>
        </w:rPr>
        <w:t xml:space="preserve">Supervision et amélioration continue </w:t>
      </w:r>
      <w:r>
        <w:rPr>
          <w:rFonts w:eastAsia="Times New Roman" w:cs="Times New Roman"/>
          <w:sz w:val="24"/>
          <w:szCs w:val="24"/>
        </w:rPr>
        <w:t>par le Comité Inter-Pôles, composé de la gérance et des directeurs de pôles.</w:t>
      </w:r>
    </w:p>
    <w:p>
      <w:pPr>
        <w:pStyle w:val="Normal"/>
        <w:spacing w:lineRule="auto" w:line="312" w:before="140" w:after="140"/>
        <w:jc w:val="both"/>
        <w:rPr/>
      </w:pPr>
      <w:r>
        <w:rPr>
          <w:rFonts w:eastAsia="Times New Roman" w:cs="Times New Roman"/>
          <w:sz w:val="24"/>
          <w:szCs w:val="24"/>
        </w:rPr>
        <w:t>Ce fonctionnement prépare aussi les chefs de projets à devenir directeurs de pôles. Chaque directeur assure la direction opérationnelle de son pôle, la qualité des livrables et la montée en compétence de son équipe. Un Directeur Technique veille à la cohérence des choix technologiques, des normes d’ingénierie et de la sécurité entre les pôles.</w:t>
      </w:r>
    </w:p>
    <w:p>
      <w:pPr>
        <w:pStyle w:val="Heading1"/>
        <w:spacing w:before="360" w:after="180"/>
        <w:rPr/>
      </w:pPr>
      <w:r>
        <w:rPr>
          <w:rFonts w:eastAsia="Times New Roman" w:cs="Times New Roman" w:ascii="Times New Roman" w:hAnsi="Times New Roman"/>
          <w:b/>
          <w:bCs/>
          <w:color w:val="1F3864"/>
          <w:sz w:val="30"/>
          <w:szCs w:val="30"/>
        </w:rPr>
        <w:t>5. Activités et projets de 2026</w:t>
      </w:r>
    </w:p>
    <w:p>
      <w:pPr>
        <w:pStyle w:val="Normal"/>
        <w:keepNext w:val="true"/>
        <w:spacing w:lineRule="auto" w:line="312" w:before="0" w:after="140"/>
        <w:jc w:val="both"/>
        <w:rPr/>
      </w:pPr>
      <w:r>
        <w:rPr>
          <w:rFonts w:eastAsia="Times New Roman" w:cs="Times New Roman"/>
          <w:sz w:val="24"/>
          <w:szCs w:val="24"/>
        </w:rPr>
        <w:t>La Digithèque mène ses premiers grands projets dans plusieurs domaines :</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la digitalisation de la gestion scolaire, </w:t>
      </w:r>
      <w:r>
        <w:rPr>
          <w:rFonts w:eastAsia="Times New Roman" w:cs="Times New Roman"/>
          <w:sz w:val="24"/>
          <w:szCs w:val="24"/>
        </w:rPr>
        <w:t>qui structure les données et modernise les processus administratifs ;</w:t>
      </w:r>
    </w:p>
    <w:p>
      <w:pPr>
        <w:pStyle w:val="ListParagraph"/>
        <w:keepLines/>
        <w:numPr>
          <w:ilvl w:val="0"/>
          <w:numId w:val="1"/>
        </w:numPr>
        <w:spacing w:lineRule="auto" w:line="300" w:before="0" w:after="100"/>
        <w:jc w:val="both"/>
        <w:rPr/>
      </w:pPr>
      <w:r>
        <w:rPr>
          <w:rFonts w:eastAsia="Times New Roman" w:cs="Times New Roman"/>
          <w:b/>
          <w:bCs/>
          <w:sz w:val="24"/>
          <w:szCs w:val="24"/>
        </w:rPr>
        <w:t xml:space="preserve">la digitalisation des services hospitaliers, </w:t>
      </w:r>
      <w:r>
        <w:rPr>
          <w:rFonts w:eastAsia="Times New Roman" w:cs="Times New Roman"/>
          <w:sz w:val="24"/>
          <w:szCs w:val="24"/>
        </w:rPr>
        <w:t>qui optimise les flux et numérise les parcours patients ;</w:t>
      </w:r>
    </w:p>
    <w:p>
      <w:pPr>
        <w:pStyle w:val="ListParagraph"/>
        <w:numPr>
          <w:ilvl w:val="0"/>
          <w:numId w:val="1"/>
        </w:numPr>
        <w:spacing w:lineRule="auto" w:line="300" w:before="0" w:after="100"/>
        <w:jc w:val="both"/>
        <w:rPr>
          <w:rFonts w:ascii="Times New Roman" w:hAnsi="Times New Roman" w:eastAsia="Times New Roman" w:cs="Times New Roman"/>
          <w:sz w:val="24"/>
          <w:szCs w:val="24"/>
        </w:rPr>
      </w:pPr>
      <w:r>
        <w:rPr>
          <w:rFonts w:eastAsia="Times New Roman" w:cs="Times New Roman"/>
          <w:b/>
          <w:sz w:val="24"/>
          <w:szCs w:val="24"/>
        </w:rPr>
        <w:t>Développement de la plateforme web d'une faculté avec intégration de solutions d'IA</w:t>
      </w:r>
      <w:r>
        <w:rPr>
          <w:rFonts w:eastAsia="Times New Roman" w:cs="Times New Roman"/>
          <w:sz w:val="24"/>
          <w:szCs w:val="24"/>
        </w:rPr>
        <w:t xml:space="preserve"> : conception de l'architecture web, déploiement d'un agent intelligent dédié à l'assistance des étudiants/enseignants et à l'analyse de données académiques </w:t>
      </w:r>
    </w:p>
    <w:p>
      <w:pPr>
        <w:pStyle w:val="Normal"/>
        <w:spacing w:lineRule="auto" w:line="312" w:before="140" w:after="140"/>
        <w:jc w:val="both"/>
        <w:rPr/>
      </w:pPr>
      <w:r>
        <w:rPr>
          <w:rFonts w:eastAsia="Times New Roman" w:cs="Times New Roman"/>
          <w:sz w:val="24"/>
          <w:szCs w:val="24"/>
        </w:rPr>
        <w:t>D’autres projets sont en préparation avec des institutions publiques et privées : gouvernance numérique de l’éducation, services financiers numériques, télécommunications.</w:t>
      </w:r>
    </w:p>
    <w:p>
      <w:pPr>
        <w:pStyle w:val="Normal"/>
        <w:keepNext w:val="true"/>
        <w:spacing w:lineRule="auto" w:line="312" w:before="0" w:after="140"/>
        <w:jc w:val="both"/>
        <w:rPr/>
      </w:pPr>
      <w:r>
        <w:rPr>
          <w:rFonts w:eastAsia="Times New Roman" w:cs="Times New Roman"/>
          <w:sz w:val="24"/>
          <w:szCs w:val="24"/>
        </w:rPr>
        <w:t>Ses priorités pour les mois à venir sont les suivantes :</w:t>
      </w:r>
    </w:p>
    <w:p>
      <w:pPr>
        <w:pStyle w:val="ListParagraph"/>
        <w:keepLines/>
        <w:numPr>
          <w:ilvl w:val="0"/>
          <w:numId w:val="1"/>
        </w:numPr>
        <w:spacing w:lineRule="auto" w:line="300" w:before="0" w:after="100"/>
        <w:jc w:val="both"/>
        <w:rPr/>
      </w:pPr>
      <w:r>
        <w:rPr>
          <w:rFonts w:eastAsia="Times New Roman" w:cs="Times New Roman"/>
          <w:sz w:val="24"/>
          <w:szCs w:val="24"/>
        </w:rPr>
        <w:t>consolider les projets en cours ;</w:t>
      </w:r>
    </w:p>
    <w:p>
      <w:pPr>
        <w:pStyle w:val="ListParagraph"/>
        <w:keepLines/>
        <w:numPr>
          <w:ilvl w:val="0"/>
          <w:numId w:val="1"/>
        </w:numPr>
        <w:spacing w:lineRule="auto" w:line="300" w:before="0" w:after="100"/>
        <w:jc w:val="both"/>
        <w:rPr/>
      </w:pPr>
      <w:r>
        <w:rPr>
          <w:rFonts w:eastAsia="Times New Roman" w:cs="Times New Roman"/>
          <w:sz w:val="24"/>
          <w:szCs w:val="24"/>
        </w:rPr>
        <w:t>préparer la Direction Formations et son programme de Hautes Études en Numérique et en Finance ;</w:t>
      </w:r>
    </w:p>
    <w:p>
      <w:pPr>
        <w:pStyle w:val="ListParagraph"/>
        <w:keepLines/>
        <w:numPr>
          <w:ilvl w:val="0"/>
          <w:numId w:val="1"/>
        </w:numPr>
        <w:spacing w:lineRule="auto" w:line="300" w:before="0" w:after="100"/>
        <w:jc w:val="both"/>
        <w:rPr/>
      </w:pPr>
      <w:r>
        <w:rPr>
          <w:rFonts w:eastAsia="Times New Roman" w:cs="Times New Roman"/>
          <w:sz w:val="24"/>
          <w:szCs w:val="24"/>
        </w:rPr>
        <w:t>renforcer le volet philanthropique : bourses au mérite, salons de l’innovation, de l’emploi et de l’entrepreneuriat, conférences et ateliers en finance, IA et numérique ;</w:t>
      </w:r>
    </w:p>
    <w:p>
      <w:pPr>
        <w:pStyle w:val="ListParagraph"/>
        <w:keepLines/>
        <w:numPr>
          <w:ilvl w:val="0"/>
          <w:numId w:val="1"/>
        </w:numPr>
        <w:spacing w:lineRule="auto" w:line="300" w:before="0" w:after="100"/>
        <w:jc w:val="both"/>
        <w:rPr/>
      </w:pPr>
      <w:r>
        <w:rPr>
          <w:rFonts w:eastAsia="Times New Roman" w:cs="Times New Roman"/>
          <w:sz w:val="24"/>
          <w:szCs w:val="24"/>
        </w:rPr>
        <w:t>activer le pôle Incubation ;</w:t>
      </w:r>
    </w:p>
    <w:p>
      <w:pPr>
        <w:pStyle w:val="ListParagraph"/>
        <w:keepLines/>
        <w:numPr>
          <w:ilvl w:val="0"/>
          <w:numId w:val="1"/>
        </w:numPr>
        <w:spacing w:lineRule="auto" w:line="300" w:before="0" w:after="100"/>
        <w:jc w:val="both"/>
        <w:rPr/>
      </w:pPr>
      <w:r>
        <w:rPr>
          <w:rFonts w:eastAsia="Times New Roman" w:cs="Times New Roman"/>
          <w:sz w:val="24"/>
          <w:szCs w:val="24"/>
        </w:rPr>
        <w:t>développer les partenariats en Afrique et en Europe.</w:t>
      </w:r>
    </w:p>
    <w:p>
      <w:pPr>
        <w:pStyle w:val="Heading1"/>
        <w:spacing w:before="360" w:after="180"/>
        <w:rPr/>
      </w:pPr>
      <w:r>
        <w:rPr>
          <w:rFonts w:eastAsia="Times New Roman" w:cs="Times New Roman" w:ascii="Times New Roman" w:hAnsi="Times New Roman"/>
          <w:b/>
          <w:bCs/>
          <w:color w:val="1F3864"/>
          <w:sz w:val="30"/>
          <w:szCs w:val="30"/>
        </w:rPr>
        <w:t>6. Ce que la Digithèque représente pour les stagiaires</w:t>
      </w:r>
    </w:p>
    <w:p>
      <w:pPr>
        <w:pStyle w:val="ListParagraph"/>
        <w:keepLines/>
        <w:numPr>
          <w:ilvl w:val="0"/>
          <w:numId w:val="1"/>
        </w:numPr>
        <w:spacing w:lineRule="auto" w:line="300" w:before="0" w:after="100"/>
        <w:jc w:val="both"/>
        <w:rPr/>
      </w:pPr>
      <w:r>
        <w:rPr>
          <w:rFonts w:eastAsia="Times New Roman" w:cs="Times New Roman"/>
          <w:sz w:val="24"/>
          <w:szCs w:val="24"/>
        </w:rPr>
        <w:t>Un cadre professionnel structuré, avec une direction, des pôles, des règles et des procédures.</w:t>
      </w:r>
    </w:p>
    <w:p>
      <w:pPr>
        <w:pStyle w:val="ListParagraph"/>
        <w:keepLines/>
        <w:numPr>
          <w:ilvl w:val="0"/>
          <w:numId w:val="1"/>
        </w:numPr>
        <w:spacing w:lineRule="auto" w:line="300" w:before="0" w:after="100"/>
        <w:jc w:val="both"/>
        <w:rPr/>
      </w:pPr>
      <w:r>
        <w:rPr>
          <w:rFonts w:eastAsia="Times New Roman" w:cs="Times New Roman"/>
          <w:sz w:val="24"/>
          <w:szCs w:val="24"/>
        </w:rPr>
        <w:t>Un environnement d’innovation, au contact de la technologie, de l’IA et de la formation.</w:t>
      </w:r>
    </w:p>
    <w:p>
      <w:pPr>
        <w:pStyle w:val="ListParagraph"/>
        <w:keepLines/>
        <w:numPr>
          <w:ilvl w:val="0"/>
          <w:numId w:val="1"/>
        </w:numPr>
        <w:spacing w:lineRule="auto" w:line="300" w:before="0" w:after="100"/>
        <w:jc w:val="both"/>
        <w:rPr/>
      </w:pPr>
      <w:r>
        <w:rPr>
          <w:rFonts w:eastAsia="Times New Roman" w:cs="Times New Roman"/>
          <w:sz w:val="24"/>
          <w:szCs w:val="24"/>
        </w:rPr>
        <w:t>Un lieu où l’on apprend en faisant, avec de vraies missions et de vraies responsabilités.</w:t>
      </w:r>
    </w:p>
    <w:p>
      <w:pPr>
        <w:pStyle w:val="ListParagraph"/>
        <w:keepLines/>
        <w:numPr>
          <w:ilvl w:val="0"/>
          <w:numId w:val="1"/>
        </w:numPr>
        <w:spacing w:lineRule="auto" w:line="300" w:before="0" w:after="100"/>
        <w:jc w:val="both"/>
        <w:rPr/>
      </w:pPr>
      <w:r>
        <w:rPr>
          <w:rFonts w:eastAsia="Times New Roman" w:cs="Times New Roman"/>
          <w:sz w:val="24"/>
          <w:szCs w:val="24"/>
        </w:rPr>
        <w:t>Une jeune entreprise en construction, où chaque stagiaire peut laisser sa trace dans son histoire.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500" w:top="170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6</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6</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drawing>
        <wp:inline distT="0" distB="0" distL="0" distR="0">
          <wp:extent cx="1047750" cy="504825"/>
          <wp:effectExtent l="0" t="0" r="0" b="0"/>
          <wp:docPr id="2" name="logo" descr="Logo La Digithèqu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Logo La Digithèque" title="Logo"/>
                  <pic:cNvPicPr>
                    <a:picLocks noChangeAspect="1" noChangeArrowheads="1"/>
                  </pic:cNvPicPr>
                </pic:nvPicPr>
                <pic:blipFill>
                  <a:blip r:embed="rId1"/>
                  <a:stretch>
                    <a:fillRect/>
                  </a:stretch>
                </pic:blipFill>
                <pic:spPr bwMode="auto">
                  <a:xfrm>
                    <a:off x="0" y="0"/>
                    <a:ext cx="1047750" cy="50482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drawing>
        <wp:inline distT="0" distB="0" distL="0" distR="0">
          <wp:extent cx="1047750" cy="504825"/>
          <wp:effectExtent l="0" t="0" r="0" b="0"/>
          <wp:docPr id="3" name="logo" descr="Logo La Digithèqu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escr="Logo La Digithèque" title="Logo"/>
                  <pic:cNvPicPr>
                    <a:picLocks noChangeAspect="1" noChangeArrowheads="1"/>
                  </pic:cNvPicPr>
                </pic:nvPicPr>
                <pic:blipFill>
                  <a:blip r:embed="rId1"/>
                  <a:stretch>
                    <a:fillRect/>
                  </a:stretch>
                </pic:blipFill>
                <pic:spPr bwMode="auto">
                  <a:xfrm>
                    <a:off x="0" y="0"/>
                    <a:ext cx="1047750" cy="50482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color w:val="1F3864"/>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rFonts w:ascii="Times New Roman" w:hAnsi="Times New Roman" w:eastAsia="Times New Roman" w:cs="Times New Roman"/>
        <w:b/>
        <w:bCs/>
        <w:color w:val="1F3864"/>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rFonts w:ascii="Times New Roman" w:hAnsi="Times New Roman" w:eastAsia="Times New Roman" w:cs="Times New Roman"/>
        <w:b/>
        <w:bCs/>
        <w:color w:val="1F3864"/>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outlineLvl w:val="0"/>
    </w:pPr>
    <w:rPr>
      <w:rFonts w:ascii="Times New Roman" w:hAnsi="Times New Roman" w:eastAsia="Times New Roman" w:cs="Times New Roman"/>
      <w:b/>
      <w:bCs/>
      <w:color w:val="1F3864"/>
      <w:sz w:val="30"/>
      <w:szCs w:val="30"/>
    </w:rPr>
  </w:style>
  <w:style w:type="paragraph" w:styleId="Heading2">
    <w:name w:val="heading 2"/>
    <w:basedOn w:val="Titre"/>
    <w:qFormat/>
    <w:pPr>
      <w:outlineLvl w:val="1"/>
    </w:pPr>
    <w:rPr>
      <w:rFonts w:ascii="Times New Roman" w:hAnsi="Times New Roman" w:eastAsia="Times New Roman" w:cs="Times New Roman"/>
      <w:b/>
      <w:bCs/>
      <w:color w:val="1F3864"/>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LibreOffice/26.2.6.3$Windows_X86_64 LibreOffice_project/8221e31b3ac356a1623c672912a3d2b492f7e3d1</Application>
  <AppVersion>15.0000</AppVersion>
  <Pages>6</Pages>
  <Words>1456</Words>
  <Characters>8786</Characters>
  <CharactersWithSpaces>10123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2026-10-02T08:25:39Z</dcterms:created>
  <dc:creator>La Digithèque</dc:creator>
  <dc:description/>
  <dc:language>fr-FR</dc:language>
  <cp:lastModifiedBy/>
  <dcterms:modified xsi:type="dcterms:W3CDTF">2026-10-20T07:19:03Z</dcterms:modified>
  <cp:revision>3</cp:revision>
  <dc:subject/>
  <dc:title>Historique et présentation de La Digithèque</dc:title>
</cp:coreProperties>
</file>