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Ablação com Punção Transeptal</w:t>
      </w:r>
    </w:p>
    <w:p>
      <w:r>
        <w:t>Acesso transeptal com bainha e agulha dedicadas.</w:t>
      </w:r>
    </w:p>
    <w:p>
      <w:r>
        <w:t>Materiais:</w:t>
      </w:r>
    </w:p>
    <w:p>
      <w:r>
        <w:t>Cateter de Ablação – FireMagic™ + conector</w:t>
      </w:r>
    </w:p>
    <w:p>
      <w:r>
        <w:t>Cateter Decapolar – EasyFinder™ Deca + conector</w:t>
      </w:r>
    </w:p>
    <w:p>
      <w:r>
        <w:t>Cateter Quadripolar – EasyFinder™ Quad + conector</w:t>
      </w:r>
    </w:p>
    <w:p>
      <w:r>
        <w:t>Bainha de Punção Transeptal</w:t>
      </w:r>
    </w:p>
    <w:p>
      <w:r>
        <w:t>Agulha de Punção Transeptal</w:t>
      </w:r>
    </w:p>
    <w:p>
      <w:r>
        <w:t>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