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4"/>
        </w:rPr>
        <w:t>ModelGuard: Step-by-Step Execution Guide</w:t>
      </w:r>
    </w:p>
    <w:p>
      <w:pPr>
        <w:spacing w:after="240"/>
      </w:pPr>
      <w:r>
        <w:rPr>
          <w:rFonts w:ascii="Calibri" w:hAnsi="Calibri"/>
          <w:b/>
          <w:color w:val="2B6CB0"/>
          <w:sz w:val="26"/>
        </w:rPr>
        <w:t>How to Run Tests, Demos, and Model Scans from the Terminal</w:t>
      </w:r>
    </w:p>
    <w:p>
      <w:r>
        <w:t>This guide provides copy-pasteable instructions for executing ModelGuard on your machine. Follow these steps in order when practicing or demonstrating Module 3 (Chat Template Extraction &amp; Static Analysis) and the core container scanner.</w:t>
      </w:r>
    </w:p>
    <w:p>
      <w:pPr>
        <w:pStyle w:val="Heading2"/>
      </w:pPr>
      <w:r>
        <w:rPr>
          <w:color w:val="1B365D"/>
        </w:rPr>
        <w:t>Step 1: Open Terminal &amp; Navigate to Project</w:t>
      </w:r>
    </w:p>
    <w:p>
      <w:r>
        <w:t>Open your Linux terminal (e.g., GNOME Terminal or Konsole) and navigate to the project directory: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cd ~/Documents/ModelGuard</w:t>
      </w:r>
    </w:p>
    <w:p>
      <w:pPr>
        <w:pStyle w:val="Heading2"/>
      </w:pPr>
      <w:r>
        <w:rPr>
          <w:color w:val="1B365D"/>
        </w:rPr>
        <w:t>Step 2: Activate the Virtual Environment</w:t>
      </w:r>
    </w:p>
    <w:p>
      <w:r>
        <w:t>Activate the pre-configured Python virtual environment: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source .venv/bin/activate</w:t>
      </w:r>
    </w:p>
    <w:p>
      <w:pPr>
        <w:spacing w:before="80" w:after="120"/>
        <w:ind w:left="288"/>
        <w:shd w:fill="EBF4FF"/>
      </w:pPr>
      <w:r>
        <w:rPr>
          <w:b/>
          <w:color w:val="2B6CB0"/>
          <w:sz w:val="19"/>
        </w:rPr>
        <w:t xml:space="preserve">Verification: </w:t>
      </w:r>
      <w:r>
        <w:rPr>
          <w:color w:val="2D3748"/>
          <w:sz w:val="19"/>
        </w:rPr>
        <w:t>Your terminal prompt will now display "(.venv)" at the front, indicating the isolated environment is active.</w:t>
      </w:r>
    </w:p>
    <w:p>
      <w:pPr>
        <w:pStyle w:val="Heading2"/>
      </w:pPr>
      <w:r>
        <w:rPr>
          <w:color w:val="1B365D"/>
        </w:rPr>
        <w:t>Step 3: Run the Live Interactive Demonstration</w:t>
      </w:r>
    </w:p>
    <w:p>
      <w:r>
        <w:t>Run the standalone, formatted demonstration script created for your review: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python demo_template.py</w:t>
      </w:r>
    </w:p>
    <w:p>
      <w:r>
        <w:rPr>
          <w:b/>
        </w:rPr>
        <w:t>What this exercises live:</w:t>
        <w:br/>
      </w:r>
      <w:r>
        <w:t>• Step 1 (Benign Model): Analyzes a standard ChatML template. Confirms 0 warnings/errors and matches canonical profile (CT130).</w:t>
        <w:br/>
        <w:t>• Step 2 (Hostile Exploit): Catches dunder traversal (CT101), sandbox escape globals (CT104), and file inclusion (CT105).</w:t>
        <w:br/>
        <w:t>• Step 3 (Adversarial Backdoor): Detects omitted system role (CT110) and backdoor overrides like "Ignore previous instructions" (CT111).</w:t>
        <w:br/>
        <w:t>• Step 4 (Malformed Syntax): Traps unclosed tags safely as CT120 without crashing.</w:t>
      </w:r>
    </w:p>
    <w:p>
      <w:pPr>
        <w:pStyle w:val="Heading2"/>
      </w:pPr>
      <w:r>
        <w:rPr>
          <w:color w:val="1B365D"/>
        </w:rPr>
        <w:t>Step 4: Run the Automated Unit Tests</w:t>
      </w:r>
    </w:p>
    <w:p>
      <w:r>
        <w:t>Run the pytest test suite to demonstrate automated verification:</w:t>
      </w:r>
    </w:p>
    <w:p>
      <w:r>
        <w:rPr>
          <w:b/>
        </w:rPr>
        <w:t>A. To run only Module 3 tests (22 tests, verbose output):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pytest tests/test_template_analyzer.py -v</w:t>
      </w:r>
    </w:p>
    <w:p>
      <w:r>
        <w:rPr>
          <w:b/>
        </w:rPr>
        <w:t>B. To run the full project test suite (all 72 tests across Modules 1, 2, and 3):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pytest -q</w:t>
      </w:r>
    </w:p>
    <w:p>
      <w:pPr>
        <w:spacing w:before="80" w:after="120"/>
        <w:ind w:left="288"/>
        <w:shd w:fill="EBF4FF"/>
      </w:pPr>
      <w:r>
        <w:rPr>
          <w:b/>
          <w:color w:val="2B6CB0"/>
          <w:sz w:val="19"/>
        </w:rPr>
        <w:t xml:space="preserve">Expected Result: </w:t>
      </w:r>
      <w:r>
        <w:rPr>
          <w:color w:val="2D3748"/>
          <w:sz w:val="19"/>
        </w:rPr>
        <w:t>You should see "72 passed in ~4.1s" with a 100% green pass rate.</w:t>
      </w:r>
    </w:p>
    <w:p>
      <w:pPr>
        <w:pStyle w:val="Heading2"/>
      </w:pPr>
      <w:r>
        <w:rPr>
          <w:color w:val="1B365D"/>
        </w:rPr>
        <w:t>Step 5: Run the ModelGuard Scanner CLI</w:t>
      </w:r>
    </w:p>
    <w:p>
      <w:r>
        <w:t>Scan sample model container files using the main ModelGuard CLI:</w:t>
      </w:r>
    </w:p>
    <w:p>
      <w:r>
        <w:rPr>
          <w:b/>
        </w:rPr>
        <w:t>Scan a valid GGUF container: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python -m modelguard scan samples/valid_model.gguf</w:t>
      </w:r>
    </w:p>
    <w:p>
      <w:r>
        <w:rPr>
          <w:b/>
        </w:rPr>
        <w:t>Scan a valid Safetensors container: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python -m modelguard scan samples/valid_model.safetensors</w:t>
      </w:r>
    </w:p>
    <w:p>
      <w:pPr>
        <w:pStyle w:val="Heading2"/>
      </w:pPr>
      <w:r>
        <w:rPr>
          <w:color w:val="1B365D"/>
        </w:rPr>
        <w:t>Step 6: Export HTML and JSON Reports</w:t>
      </w:r>
    </w:p>
    <w:p>
      <w:r>
        <w:t>Generate standalone machine-readable JSON and human-readable HTML reports: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python -m modelguard scan samples/invalid_offset.gguf \n  --json my_report.json \n  --html my_report.html || true</w:t>
      </w:r>
    </w:p>
    <w:p>
      <w:pPr>
        <w:spacing w:before="80" w:after="120"/>
        <w:ind w:left="288"/>
        <w:shd w:fill="EBF4FF"/>
      </w:pPr>
      <w:r>
        <w:rPr>
          <w:b/>
          <w:color w:val="2B6CB0"/>
          <w:sz w:val="19"/>
        </w:rPr>
        <w:t xml:space="preserve">View HTML: </w:t>
      </w:r>
      <w:r>
        <w:rPr>
          <w:color w:val="2D3748"/>
          <w:sz w:val="19"/>
        </w:rPr>
        <w:t>Open the generated report in your web browser with: xdg-open my_report.html</w:t>
      </w:r>
    </w:p>
    <w:p>
      <w:pPr>
        <w:pStyle w:val="Heading2"/>
      </w:pPr>
      <w:r>
        <w:rPr>
          <w:color w:val="1B365D"/>
        </w:rPr>
        <w:t>Step 7: Exit the Environment When Done</w:t>
      </w:r>
    </w:p>
    <w:p>
      <w:r>
        <w:t>When you finish your practice session or presentation, exit the virtual environment:</w:t>
      </w:r>
    </w:p>
    <w:p>
      <w:pPr>
        <w:spacing w:before="80" w:after="120"/>
        <w:ind w:left="288"/>
        <w:shd w:fill="F1F5F9"/>
      </w:pPr>
      <w:r>
        <w:rPr>
          <w:rFonts w:ascii="Courier New" w:hAnsi="Courier New"/>
          <w:b/>
          <w:color w:val="181E2A"/>
          <w:sz w:val="20"/>
        </w:rPr>
        <w:t>deactivate</w:t>
      </w:r>
    </w:p>
    <w:p>
      <w:pPr>
        <w:spacing w:after="160"/>
      </w:pPr>
    </w:p>
    <w:p>
      <w:pPr>
        <w:pStyle w:val="Heading2"/>
      </w:pPr>
      <w:r>
        <w:rPr>
          <w:color w:val="1B365D"/>
        </w:rPr>
        <w:t>Quick Cheat Sheet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B365D"/>
          </w:tcPr>
          <w:p>
            <w:pPr>
              <w:spacing w:before="60" w:after="60"/>
            </w:pPr>
            <w:r>
              <w:rPr>
                <w:b/>
                <w:color w:val="FFFFFF"/>
              </w:rPr>
              <w:t>Task</w:t>
            </w:r>
          </w:p>
        </w:tc>
        <w:tc>
          <w:tcPr>
            <w:tcW w:type="dxa" w:w="4680"/>
            <w:shd w:fill="1B365D"/>
          </w:tcPr>
          <w:p>
            <w:pPr>
              <w:spacing w:before="60" w:after="60"/>
            </w:pPr>
            <w:r>
              <w:rPr>
                <w:rFonts w:ascii="Courier New" w:hAnsi="Courier New"/>
                <w:b/>
                <w:color w:val="FFFFFF"/>
                <w:sz w:val="18"/>
              </w:rPr>
              <w:t>Command</w:t>
            </w:r>
          </w:p>
        </w:tc>
      </w:tr>
      <w:tr>
        <w:tc>
          <w:tcPr>
            <w:tcW w:type="dxa" w:w="4680"/>
            <w:shd w:fill="F8FAFC"/>
          </w:tcPr>
          <w:p>
            <w:pPr>
              <w:spacing w:before="60" w:after="60"/>
            </w:pPr>
            <w:r>
              <w:rPr>
                <w:b/>
                <w:sz w:val="18"/>
              </w:rPr>
              <w:t>Activate Environment</w:t>
            </w:r>
          </w:p>
        </w:tc>
        <w:tc>
          <w:tcPr>
            <w:tcW w:type="dxa" w:w="4680"/>
            <w:shd w:fill="F8FAFC"/>
          </w:tcPr>
          <w:p>
            <w:pPr>
              <w:spacing w:before="60" w:after="60"/>
            </w:pPr>
            <w:r>
              <w:rPr>
                <w:rFonts w:ascii="Courier New" w:hAnsi="Courier New"/>
                <w:sz w:val="18"/>
              </w:rPr>
              <w:t>source .venv/bin/activate</w:t>
            </w:r>
          </w:p>
        </w:tc>
      </w:tr>
      <w:tr>
        <w:tc>
          <w:tcPr>
            <w:tcW w:type="dxa" w:w="4680"/>
          </w:tcPr>
          <w:p>
            <w:pPr>
              <w:spacing w:before="60" w:after="60"/>
            </w:pPr>
            <w:r>
              <w:rPr>
                <w:b/>
                <w:sz w:val="18"/>
              </w:rPr>
              <w:t>Run Module 3 Demo</w:t>
            </w:r>
          </w:p>
        </w:tc>
        <w:tc>
          <w:tcPr>
            <w:tcW w:type="dxa" w:w="4680"/>
          </w:tcPr>
          <w:p>
            <w:pPr>
              <w:spacing w:before="60" w:after="60"/>
            </w:pPr>
            <w:r>
              <w:rPr>
                <w:rFonts w:ascii="Courier New" w:hAnsi="Courier New"/>
                <w:sz w:val="18"/>
              </w:rPr>
              <w:t>python demo_template.py</w:t>
            </w:r>
          </w:p>
        </w:tc>
      </w:tr>
      <w:tr>
        <w:tc>
          <w:tcPr>
            <w:tcW w:type="dxa" w:w="4680"/>
            <w:shd w:fill="F8FAFC"/>
          </w:tcPr>
          <w:p>
            <w:pPr>
              <w:spacing w:before="60" w:after="60"/>
            </w:pPr>
            <w:r>
              <w:rPr>
                <w:b/>
                <w:sz w:val="18"/>
              </w:rPr>
              <w:t>Run Module 3 Tests</w:t>
            </w:r>
          </w:p>
        </w:tc>
        <w:tc>
          <w:tcPr>
            <w:tcW w:type="dxa" w:w="4680"/>
            <w:shd w:fill="F8FAFC"/>
          </w:tcPr>
          <w:p>
            <w:pPr>
              <w:spacing w:before="60" w:after="60"/>
            </w:pPr>
            <w:r>
              <w:rPr>
                <w:rFonts w:ascii="Courier New" w:hAnsi="Courier New"/>
                <w:sz w:val="18"/>
              </w:rPr>
              <w:t>pytest tests/test_template_analyzer.py -v</w:t>
            </w:r>
          </w:p>
        </w:tc>
      </w:tr>
      <w:tr>
        <w:tc>
          <w:tcPr>
            <w:tcW w:type="dxa" w:w="4680"/>
          </w:tcPr>
          <w:p>
            <w:pPr>
              <w:spacing w:before="60" w:after="60"/>
            </w:pPr>
            <w:r>
              <w:rPr>
                <w:b/>
                <w:sz w:val="18"/>
              </w:rPr>
              <w:t>Run All 72 Tests</w:t>
            </w:r>
          </w:p>
        </w:tc>
        <w:tc>
          <w:tcPr>
            <w:tcW w:type="dxa" w:w="4680"/>
          </w:tcPr>
          <w:p>
            <w:pPr>
              <w:spacing w:before="60" w:after="60"/>
            </w:pPr>
            <w:r>
              <w:rPr>
                <w:rFonts w:ascii="Courier New" w:hAnsi="Courier New"/>
                <w:sz w:val="18"/>
              </w:rPr>
              <w:t>pytest -q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