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ModelGuard: Security for the ML Model Supply Chain</w:t>
      </w:r>
    </w:p>
    <w:p>
      <w:pPr>
        <w:spacing w:after="240"/>
      </w:pPr>
      <w:r>
        <w:rPr>
          <w:rFonts w:ascii="Calibri" w:hAnsi="Calibri"/>
          <w:b/>
          <w:color w:val="2B6CB0"/>
          <w:sz w:val="26"/>
        </w:rPr>
        <w:t>Module 3: Chat Template Extraction &amp; Static Analysis — Demonstration Guide</w:t>
      </w:r>
    </w:p>
    <w:tbl>
      <w:tblPr>
        <w:tblW w:type="auto" w:w="0"/>
        <w:jc w:val="center"/>
        <w:tblLook w:firstColumn="1" w:firstRow="1" w:lastColumn="0" w:lastRow="0" w:noHBand="0" w:noVBand="1" w:val="04A0"/>
      </w:tblPr>
      <w:tblGrid>
        <w:gridCol w:w="4680"/>
        <w:gridCol w:w="4680"/>
      </w:tblGrid>
      <w:tr>
        <w:tc>
          <w:tcPr>
            <w:tcW w:type="dxa" w:w="4680"/>
            <w:shd w:fill="F8FAFC"/>
          </w:tcPr>
          <w:p>
            <w:pPr>
              <w:spacing w:before="40" w:after="40"/>
            </w:pPr>
            <w:r>
              <w:rPr>
                <w:b/>
                <w:color w:val="4A5568"/>
                <w:sz w:val="19"/>
              </w:rPr>
              <w:t xml:space="preserve">Owner / Presenter: </w:t>
            </w:r>
            <w:r>
              <w:rPr>
                <w:color w:val="2D3748"/>
                <w:sz w:val="19"/>
              </w:rPr>
              <w:t>Adhwaith Krishna (MUT23CC005)</w:t>
            </w:r>
          </w:p>
        </w:tc>
        <w:tc>
          <w:tcPr>
            <w:tcW w:type="dxa" w:w="4680"/>
            <w:shd w:fill="F8FAFC"/>
          </w:tcPr>
          <w:p>
            <w:pPr>
              <w:spacing w:before="40" w:after="40"/>
            </w:pPr>
            <w:r>
              <w:rPr>
                <w:b/>
                <w:color w:val="4A5568"/>
                <w:sz w:val="19"/>
              </w:rPr>
              <w:t xml:space="preserve">Project Phase: </w:t>
            </w:r>
            <w:r>
              <w:rPr>
                <w:color w:val="2D3748"/>
                <w:sz w:val="19"/>
              </w:rPr>
              <w:t>Academic Year 2026–2027 | Review 1</w:t>
            </w:r>
          </w:p>
        </w:tc>
      </w:tr>
      <w:tr>
        <w:tc>
          <w:tcPr>
            <w:tcW w:type="dxa" w:w="4680"/>
            <w:shd w:fill="F8FAFC"/>
          </w:tcPr>
          <w:p>
            <w:pPr>
              <w:spacing w:before="40" w:after="40"/>
            </w:pPr>
            <w:r>
              <w:rPr>
                <w:b/>
                <w:color w:val="4A5568"/>
                <w:sz w:val="19"/>
              </w:rPr>
              <w:t xml:space="preserve">Guide: </w:t>
            </w:r>
            <w:r>
              <w:rPr>
                <w:color w:val="2D3748"/>
                <w:sz w:val="19"/>
              </w:rPr>
              <w:t>Mrs. Sneha Thankachan (Asst. Prof)</w:t>
            </w:r>
          </w:p>
        </w:tc>
        <w:tc>
          <w:tcPr>
            <w:tcW w:type="dxa" w:w="4680"/>
            <w:shd w:fill="F8FAFC"/>
          </w:tcPr>
          <w:p>
            <w:pPr>
              <w:spacing w:before="40" w:after="40"/>
            </w:pPr>
            <w:r>
              <w:rPr>
                <w:b/>
                <w:color w:val="4A5568"/>
                <w:sz w:val="19"/>
              </w:rPr>
              <w:t xml:space="preserve">Team / Group: </w:t>
            </w:r>
            <w:r>
              <w:rPr>
                <w:color w:val="2D3748"/>
                <w:sz w:val="19"/>
              </w:rPr>
              <w:t>Group 3 (Fahad, Chris Paul, Adhwaith Krishna, Nadiq Aman)</w:t>
            </w:r>
          </w:p>
        </w:tc>
      </w:tr>
    </w:tbl>
    <w:p>
      <w:pPr>
        <w:spacing w:after="160"/>
      </w:pPr>
    </w:p>
    <w:p>
      <w:pPr>
        <w:pStyle w:val="Heading1"/>
      </w:pPr>
      <w:r>
        <w:rPr>
          <w:color w:val="1B365D"/>
          <w:sz w:val="30"/>
        </w:rPr>
        <w:t>1. Executive Summary &amp; Problem Context</w:t>
      </w:r>
    </w:p>
    <w:p>
      <w:r>
        <w:t>Modern large language model distributions (GGUF and Safetensors formats) frequently package embedded Jinja2 chat templates within their metadata headers. Because templates execute during conversational tokenization prior to inference, maliciously authored model files introduce critical attack vectors: arbitrary code execution through Python dunder traversal, sandbox escapes, local file inclusions, and prompt-content backdoors that strip system guardrails.</w:t>
        <w:br/>
        <w:br/>
        <w:t>Module 3 delivers safe, offline static inspection: it extracts templates across containers and inspects their Abstract Syntax Tree (AST) and lexical token streams without ever evaluating or rendering untrusted Jinja code.</w:t>
      </w:r>
    </w:p>
    <w:p>
      <w:pPr>
        <w:pStyle w:val="Heading1"/>
      </w:pPr>
      <w:r>
        <w:rPr>
          <w:color w:val="1B365D"/>
          <w:sz w:val="30"/>
        </w:rPr>
        <w:t>2. Quick Terminal Demonstration Commands</w:t>
      </w:r>
    </w:p>
    <w:p>
      <w:r>
        <w:t>Run the following commands from the repository root directory in your virtual environment:</w:t>
      </w:r>
    </w:p>
    <w:p>
      <w:r>
        <w:rPr>
          <w:b/>
        </w:rPr>
        <w:t>Command 1: Run the full automated test suite (22 unit tests for Module 3):</w:t>
      </w:r>
    </w:p>
    <w:p>
      <w:pPr>
        <w:spacing w:before="80" w:after="120"/>
        <w:ind w:left="288"/>
        <w:shd w:fill="F1F5F9"/>
      </w:pPr>
      <w:r>
        <w:rPr>
          <w:rFonts w:ascii="Courier New" w:hAnsi="Courier New"/>
          <w:color w:val="1E293B"/>
          <w:sz w:val="19"/>
        </w:rPr>
        <w:t>.venv/bin/pytest tests/test_template_analyzer.py -v</w:t>
      </w:r>
    </w:p>
    <w:p>
      <w:r>
        <w:rPr>
          <w:b/>
        </w:rPr>
        <w:t>Command 2: Launch the interactive, 4-step live demonstration:</w:t>
      </w:r>
    </w:p>
    <w:p>
      <w:pPr>
        <w:spacing w:before="80" w:after="120"/>
        <w:ind w:left="288"/>
        <w:shd w:fill="F1F5F9"/>
      </w:pPr>
      <w:r>
        <w:rPr>
          <w:rFonts w:ascii="Courier New" w:hAnsi="Courier New"/>
          <w:color w:val="1E293B"/>
          <w:sz w:val="19"/>
        </w:rPr>
        <w:t>.venv/bin/python demo_template.py</w:t>
      </w:r>
    </w:p>
    <w:p>
      <w:pPr>
        <w:pStyle w:val="Heading1"/>
      </w:pPr>
      <w:r>
        <w:rPr>
          <w:color w:val="1B365D"/>
          <w:sz w:val="30"/>
        </w:rPr>
        <w:t>3. Step-by-Step Presentation Script (2–3 Minutes)</w:t>
      </w:r>
    </w:p>
    <w:p>
      <w:r>
        <w:rPr>
          <w:b/>
          <w:color w:val="2B6CB0"/>
          <w:sz w:val="23"/>
        </w:rPr>
        <w:t>Part 1: The Threat Model &amp; Design Principles (0:00 – 0:45)</w:t>
      </w:r>
    </w:p>
    <w:p>
      <w:pPr>
        <w:ind w:left="288"/>
      </w:pPr>
      <w:r>
        <w:rPr>
          <w:i/>
        </w:rPr>
        <w:t>“Good morning. In modern model supply chains, model files are not just weights—they include executable metadata like Jinja2 chat templates. Untrusted chat templates present two major threats: code execution risks where attackers break out of the Python sandbox via dunders, and prompt injection risks where templates silently drop system prompts or inject backdoors. My module, Module 3, provides static AST-based inspection. As defined in our project specification, it never evaluates or renders untrusted Jinja code, and it keeps code-risk and prompt-risk findings strictly separated.”</w:t>
      </w:r>
    </w:p>
    <w:p>
      <w:r>
        <w:rPr>
          <w:b/>
          <w:color w:val="2B6CB0"/>
          <w:sz w:val="23"/>
        </w:rPr>
        <w:t>Part 2: Automated Test Verification (0:45 – 1:15)</w:t>
      </w:r>
    </w:p>
    <w:p>
      <w:pPr>
        <w:ind w:left="288"/>
      </w:pPr>
      <w:r>
        <w:rPr>
          <w:i/>
        </w:rPr>
        <w:t>“Here we run pytest on Module 3: 22 automated tests pass in under 0.15 seconds. These cover GGUF and Safetensors extraction, AST dunder traversal detection, dangerous function calls, prompt backdoor pattern matching, syntax validation, and canonical reference matching for ChatML, Llama-3, and Mistral.”</w:t>
      </w:r>
    </w:p>
    <w:p>
      <w:r>
        <w:rPr>
          <w:b/>
          <w:color w:val="2B6CB0"/>
          <w:sz w:val="23"/>
        </w:rPr>
        <w:t>Part 3: Live Demonstration of Threat Scenarios (1:15 – 2:30)</w:t>
      </w:r>
    </w:p>
    <w:p>
      <w:pPr>
        <w:ind w:left="288"/>
      </w:pPr>
      <w:r>
        <w:rPr>
          <w:i/>
        </w:rPr>
        <w:t>“Now let us run python demo_template.py. This interactive script exercises four realistic threat scenarios live:</w:t>
        <w:br/>
        <w:t>• Step 1 (Benign Model): A clean ChatML template is extracted from GGUF metadata. It matches the canonical ChatML reference profile with a score of 1.0 (CT130), producing zero errors or warnings.</w:t>
        <w:br/>
        <w:t>• Step 2 (Hostile Exploit): An attacker attempts a Jinja sandbox escape using dunder attributes and file inclusion. ModelGuard statically flags [CRITICAL] CT101 (dunder traversal), [CRITICAL] CT104 (escape globals), and [ERROR] CT105 (file inclusion /etc/shadow) without executing any instructions.</w:t>
        <w:br/>
        <w:t>• Step 3 (Adversarial Backdoor): The template quietly omits the system role and injects an adversarial instruction override. ModelGuard flags [WARNING] CT110 (system message dropped) and [WARNING] CT111 (prompt backdoor detected).</w:t>
        <w:br/>
        <w:t>• Step 4 (Malformed Syntax): Corrupted tags with unclosed braces are safely trapped as [ERROR] CT120 without crashing the parser.”</w:t>
      </w:r>
    </w:p>
    <w:p>
      <w:pPr>
        <w:pStyle w:val="Heading1"/>
      </w:pPr>
      <w:r>
        <w:rPr>
          <w:color w:val="1B365D"/>
          <w:sz w:val="30"/>
        </w:rPr>
        <w:t>4. Finding Codes &amp; Security Classification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spacing w:before="60" w:after="60"/>
            </w:pPr>
            <w:r>
              <w:rPr>
                <w:b/>
                <w:color w:val="FFFFFF"/>
                <w:sz w:val="17"/>
              </w:rPr>
              <w:t>ID</w:t>
            </w:r>
          </w:p>
        </w:tc>
        <w:tc>
          <w:tcPr>
            <w:tcW w:type="dxa" w:w="2340"/>
            <w:shd w:fill="1B365D"/>
          </w:tcPr>
          <w:p>
            <w:pPr>
              <w:spacing w:before="60" w:after="60"/>
            </w:pPr>
            <w:r>
              <w:rPr>
                <w:b/>
                <w:color w:val="FFFFFF"/>
                <w:sz w:val="17"/>
              </w:rPr>
              <w:t>Severity</w:t>
            </w:r>
          </w:p>
        </w:tc>
        <w:tc>
          <w:tcPr>
            <w:tcW w:type="dxa" w:w="2340"/>
            <w:shd w:fill="1B365D"/>
          </w:tcPr>
          <w:p>
            <w:pPr>
              <w:spacing w:before="60" w:after="60"/>
            </w:pPr>
            <w:r>
              <w:rPr>
                <w:b/>
                <w:color w:val="FFFFFF"/>
                <w:sz w:val="17"/>
              </w:rPr>
              <w:t>Category</w:t>
            </w:r>
          </w:p>
        </w:tc>
        <w:tc>
          <w:tcPr>
            <w:tcW w:type="dxa" w:w="2340"/>
            <w:shd w:fill="1B365D"/>
          </w:tcPr>
          <w:p>
            <w:pPr>
              <w:spacing w:before="60" w:after="60"/>
            </w:pPr>
            <w:r>
              <w:rPr>
                <w:b/>
                <w:color w:val="FFFFFF"/>
                <w:sz w:val="17"/>
              </w:rPr>
              <w:t>Description</w:t>
            </w:r>
          </w:p>
        </w:tc>
      </w:tr>
      <w:tr>
        <w:tc>
          <w:tcPr>
            <w:tcW w:type="dxa" w:w="2340"/>
            <w:shd w:fill="F8FAFC"/>
          </w:tcPr>
          <w:p>
            <w:pPr>
              <w:spacing w:before="60" w:after="60"/>
            </w:pPr>
            <w:r>
              <w:rPr>
                <w:b/>
                <w:sz w:val="17"/>
              </w:rPr>
              <w:t>CT101</w:t>
            </w:r>
          </w:p>
        </w:tc>
        <w:tc>
          <w:tcPr>
            <w:tcW w:type="dxa" w:w="2340"/>
            <w:shd w:fill="F8FAFC"/>
          </w:tcPr>
          <w:p>
            <w:pPr>
              <w:spacing w:before="60" w:after="60"/>
            </w:pPr>
            <w:r>
              <w:rPr>
                <w:b/>
                <w:color w:val="B91C1C"/>
                <w:sz w:val="17"/>
              </w:rPr>
              <w:t>CRITICAL</w:t>
            </w:r>
          </w:p>
        </w:tc>
        <w:tc>
          <w:tcPr>
            <w:tcW w:type="dxa" w:w="2340"/>
            <w:shd w:fill="F8FAFC"/>
          </w:tcPr>
          <w:p>
            <w:pPr>
              <w:spacing w:before="60" w:after="60"/>
            </w:pPr>
            <w:r>
              <w:rPr>
                <w:sz w:val="17"/>
              </w:rPr>
              <w:t>template_code_risk</w:t>
            </w:r>
          </w:p>
        </w:tc>
        <w:tc>
          <w:tcPr>
            <w:tcW w:type="dxa" w:w="2340"/>
            <w:shd w:fill="F8FAFC"/>
          </w:tcPr>
          <w:p>
            <w:pPr>
              <w:spacing w:before="60" w:after="60"/>
            </w:pPr>
            <w:r>
              <w:rPr>
                <w:sz w:val="17"/>
              </w:rPr>
              <w:t>Python dunder attribute or method traversal (__class__, __subclasses__, __globals__)</w:t>
            </w:r>
          </w:p>
        </w:tc>
      </w:tr>
      <w:tr>
        <w:tc>
          <w:tcPr>
            <w:tcW w:type="dxa" w:w="2340"/>
          </w:tcPr>
          <w:p>
            <w:pPr>
              <w:spacing w:before="60" w:after="60"/>
            </w:pPr>
            <w:r>
              <w:rPr>
                <w:b/>
                <w:sz w:val="17"/>
              </w:rPr>
              <w:t>CT102</w:t>
            </w:r>
          </w:p>
        </w:tc>
        <w:tc>
          <w:tcPr>
            <w:tcW w:type="dxa" w:w="2340"/>
          </w:tcPr>
          <w:p>
            <w:pPr>
              <w:spacing w:before="60" w:after="60"/>
            </w:pPr>
            <w:r>
              <w:rPr>
                <w:b/>
                <w:color w:val="B91C1C"/>
                <w:sz w:val="17"/>
              </w:rPr>
              <w:t>CRITICAL</w:t>
            </w:r>
          </w:p>
        </w:tc>
        <w:tc>
          <w:tcPr>
            <w:tcW w:type="dxa" w:w="2340"/>
          </w:tcPr>
          <w:p>
            <w:pPr>
              <w:spacing w:before="60" w:after="60"/>
            </w:pPr>
            <w:r>
              <w:rPr>
                <w:sz w:val="17"/>
              </w:rPr>
              <w:t>template_code_risk</w:t>
            </w:r>
          </w:p>
        </w:tc>
        <w:tc>
          <w:tcPr>
            <w:tcW w:type="dxa" w:w="2340"/>
          </w:tcPr>
          <w:p>
            <w:pPr>
              <w:spacing w:before="60" w:after="60"/>
            </w:pPr>
            <w:r>
              <w:rPr>
                <w:sz w:val="17"/>
              </w:rPr>
              <w:t>Disallowed function or system call invocation (eval, exec, open, os, subprocess)</w:t>
            </w:r>
          </w:p>
        </w:tc>
      </w:tr>
      <w:tr>
        <w:tc>
          <w:tcPr>
            <w:tcW w:type="dxa" w:w="2340"/>
            <w:shd w:fill="F8FAFC"/>
          </w:tcPr>
          <w:p>
            <w:pPr>
              <w:spacing w:before="60" w:after="60"/>
            </w:pPr>
            <w:r>
              <w:rPr>
                <w:b/>
                <w:sz w:val="17"/>
              </w:rPr>
              <w:t>CT104</w:t>
            </w:r>
          </w:p>
        </w:tc>
        <w:tc>
          <w:tcPr>
            <w:tcW w:type="dxa" w:w="2340"/>
            <w:shd w:fill="F8FAFC"/>
          </w:tcPr>
          <w:p>
            <w:pPr>
              <w:spacing w:before="60" w:after="60"/>
            </w:pPr>
            <w:r>
              <w:rPr>
                <w:b/>
                <w:color w:val="B91C1C"/>
                <w:sz w:val="17"/>
              </w:rPr>
              <w:t>CRITICAL</w:t>
            </w:r>
          </w:p>
        </w:tc>
        <w:tc>
          <w:tcPr>
            <w:tcW w:type="dxa" w:w="2340"/>
            <w:shd w:fill="F8FAFC"/>
          </w:tcPr>
          <w:p>
            <w:pPr>
              <w:spacing w:before="60" w:after="60"/>
            </w:pPr>
            <w:r>
              <w:rPr>
                <w:sz w:val="17"/>
              </w:rPr>
              <w:t>template_code_risk</w:t>
            </w:r>
          </w:p>
        </w:tc>
        <w:tc>
          <w:tcPr>
            <w:tcW w:type="dxa" w:w="2340"/>
            <w:shd w:fill="F8FAFC"/>
          </w:tcPr>
          <w:p>
            <w:pPr>
              <w:spacing w:before="60" w:after="60"/>
            </w:pPr>
            <w:r>
              <w:rPr>
                <w:sz w:val="17"/>
              </w:rPr>
              <w:t>Jinja sandbox escape pattern detected using escape globals (lipsum, cycler)</w:t>
            </w:r>
          </w:p>
        </w:tc>
      </w:tr>
      <w:tr>
        <w:tc>
          <w:tcPr>
            <w:tcW w:type="dxa" w:w="2340"/>
          </w:tcPr>
          <w:p>
            <w:pPr>
              <w:spacing w:before="60" w:after="60"/>
            </w:pPr>
            <w:r>
              <w:rPr>
                <w:b/>
                <w:sz w:val="17"/>
              </w:rPr>
              <w:t>CT105</w:t>
            </w:r>
          </w:p>
        </w:tc>
        <w:tc>
          <w:tcPr>
            <w:tcW w:type="dxa" w:w="2340"/>
          </w:tcPr>
          <w:p>
            <w:pPr>
              <w:spacing w:before="60" w:after="60"/>
            </w:pPr>
            <w:r>
              <w:rPr>
                <w:b/>
                <w:color w:val="C2410C"/>
                <w:sz w:val="17"/>
              </w:rPr>
              <w:t>ERROR</w:t>
            </w:r>
          </w:p>
        </w:tc>
        <w:tc>
          <w:tcPr>
            <w:tcW w:type="dxa" w:w="2340"/>
          </w:tcPr>
          <w:p>
            <w:pPr>
              <w:spacing w:before="60" w:after="60"/>
            </w:pPr>
            <w:r>
              <w:rPr>
                <w:sz w:val="17"/>
              </w:rPr>
              <w:t>template_code_risk</w:t>
            </w:r>
          </w:p>
        </w:tc>
        <w:tc>
          <w:tcPr>
            <w:tcW w:type="dxa" w:w="2340"/>
          </w:tcPr>
          <w:p>
            <w:pPr>
              <w:spacing w:before="60" w:after="60"/>
            </w:pPr>
            <w:r>
              <w:rPr>
                <w:sz w:val="17"/>
              </w:rPr>
              <w:t>External template import or file inclusion attempted ({% include %}, {% import %})</w:t>
            </w:r>
          </w:p>
        </w:tc>
      </w:tr>
      <w:tr>
        <w:tc>
          <w:tcPr>
            <w:tcW w:type="dxa" w:w="2340"/>
            <w:shd w:fill="F8FAFC"/>
          </w:tcPr>
          <w:p>
            <w:pPr>
              <w:spacing w:before="60" w:after="60"/>
            </w:pPr>
            <w:r>
              <w:rPr>
                <w:b/>
                <w:sz w:val="17"/>
              </w:rPr>
              <w:t>CT110</w:t>
            </w:r>
          </w:p>
        </w:tc>
        <w:tc>
          <w:tcPr>
            <w:tcW w:type="dxa" w:w="2340"/>
            <w:shd w:fill="F8FAFC"/>
          </w:tcPr>
          <w:p>
            <w:pPr>
              <w:spacing w:before="60" w:after="60"/>
            </w:pPr>
            <w:r>
              <w:rPr>
                <w:b/>
                <w:color w:val="B45309"/>
                <w:sz w:val="17"/>
              </w:rPr>
              <w:t>WARNING</w:t>
            </w:r>
          </w:p>
        </w:tc>
        <w:tc>
          <w:tcPr>
            <w:tcW w:type="dxa" w:w="2340"/>
            <w:shd w:fill="F8FAFC"/>
          </w:tcPr>
          <w:p>
            <w:pPr>
              <w:spacing w:before="60" w:after="60"/>
            </w:pPr>
            <w:r>
              <w:rPr>
                <w:sz w:val="17"/>
              </w:rPr>
              <w:t>template_prompt_risk</w:t>
            </w:r>
          </w:p>
        </w:tc>
        <w:tc>
          <w:tcPr>
            <w:tcW w:type="dxa" w:w="2340"/>
            <w:shd w:fill="F8FAFC"/>
          </w:tcPr>
          <w:p>
            <w:pPr>
              <w:spacing w:before="60" w:after="60"/>
            </w:pPr>
            <w:r>
              <w:rPr>
                <w:sz w:val="17"/>
              </w:rPr>
              <w:t>System message role is omitted or silently discarded by the template</w:t>
            </w:r>
          </w:p>
        </w:tc>
      </w:tr>
      <w:tr>
        <w:tc>
          <w:tcPr>
            <w:tcW w:type="dxa" w:w="2340"/>
          </w:tcPr>
          <w:p>
            <w:pPr>
              <w:spacing w:before="60" w:after="60"/>
            </w:pPr>
            <w:r>
              <w:rPr>
                <w:b/>
                <w:sz w:val="17"/>
              </w:rPr>
              <w:t>CT111</w:t>
            </w:r>
          </w:p>
        </w:tc>
        <w:tc>
          <w:tcPr>
            <w:tcW w:type="dxa" w:w="2340"/>
          </w:tcPr>
          <w:p>
            <w:pPr>
              <w:spacing w:before="60" w:after="60"/>
            </w:pPr>
            <w:r>
              <w:rPr>
                <w:b/>
                <w:color w:val="B45309"/>
                <w:sz w:val="17"/>
              </w:rPr>
              <w:t>WARNING</w:t>
            </w:r>
          </w:p>
        </w:tc>
        <w:tc>
          <w:tcPr>
            <w:tcW w:type="dxa" w:w="2340"/>
          </w:tcPr>
          <w:p>
            <w:pPr>
              <w:spacing w:before="60" w:after="60"/>
            </w:pPr>
            <w:r>
              <w:rPr>
                <w:sz w:val="17"/>
              </w:rPr>
              <w:t>template_prompt_risk</w:t>
            </w:r>
          </w:p>
        </w:tc>
        <w:tc>
          <w:tcPr>
            <w:tcW w:type="dxa" w:w="2340"/>
          </w:tcPr>
          <w:p>
            <w:pPr>
              <w:spacing w:before="60" w:after="60"/>
            </w:pPr>
            <w:r>
              <w:rPr>
                <w:sz w:val="17"/>
              </w:rPr>
              <w:t>Suspicious prompt override or backdoor instructions in chat template text</w:t>
            </w:r>
          </w:p>
        </w:tc>
      </w:tr>
      <w:tr>
        <w:tc>
          <w:tcPr>
            <w:tcW w:type="dxa" w:w="2340"/>
            <w:shd w:fill="F8FAFC"/>
          </w:tcPr>
          <w:p>
            <w:pPr>
              <w:spacing w:before="60" w:after="60"/>
            </w:pPr>
            <w:r>
              <w:rPr>
                <w:b/>
                <w:sz w:val="17"/>
              </w:rPr>
              <w:t>CT113</w:t>
            </w:r>
          </w:p>
        </w:tc>
        <w:tc>
          <w:tcPr>
            <w:tcW w:type="dxa" w:w="2340"/>
            <w:shd w:fill="F8FAFC"/>
          </w:tcPr>
          <w:p>
            <w:pPr>
              <w:spacing w:before="60" w:after="60"/>
            </w:pPr>
            <w:r>
              <w:rPr>
                <w:color w:val="0369A1"/>
                <w:sz w:val="17"/>
              </w:rPr>
              <w:t>INFO</w:t>
            </w:r>
          </w:p>
        </w:tc>
        <w:tc>
          <w:tcPr>
            <w:tcW w:type="dxa" w:w="2340"/>
            <w:shd w:fill="F8FAFC"/>
          </w:tcPr>
          <w:p>
            <w:pPr>
              <w:spacing w:before="60" w:after="60"/>
            </w:pPr>
            <w:r>
              <w:rPr>
                <w:sz w:val="17"/>
              </w:rPr>
              <w:t>template_prompt_risk</w:t>
            </w:r>
          </w:p>
        </w:tc>
        <w:tc>
          <w:tcPr>
            <w:tcW w:type="dxa" w:w="2340"/>
            <w:shd w:fill="F8FAFC"/>
          </w:tcPr>
          <w:p>
            <w:pPr>
              <w:spacing w:before="60" w:after="60"/>
            </w:pPr>
            <w:r>
              <w:rPr>
                <w:sz w:val="17"/>
              </w:rPr>
              <w:t>Template does not reference add_generation_prompt for generation control</w:t>
            </w:r>
          </w:p>
        </w:tc>
      </w:tr>
      <w:tr>
        <w:tc>
          <w:tcPr>
            <w:tcW w:type="dxa" w:w="2340"/>
          </w:tcPr>
          <w:p>
            <w:pPr>
              <w:spacing w:before="60" w:after="60"/>
            </w:pPr>
            <w:r>
              <w:rPr>
                <w:b/>
                <w:sz w:val="17"/>
              </w:rPr>
              <w:t>CT120</w:t>
            </w:r>
          </w:p>
        </w:tc>
        <w:tc>
          <w:tcPr>
            <w:tcW w:type="dxa" w:w="2340"/>
          </w:tcPr>
          <w:p>
            <w:pPr>
              <w:spacing w:before="60" w:after="60"/>
            </w:pPr>
            <w:r>
              <w:rPr>
                <w:b/>
                <w:color w:val="C2410C"/>
                <w:sz w:val="17"/>
              </w:rPr>
              <w:t>ERROR</w:t>
            </w:r>
          </w:p>
        </w:tc>
        <w:tc>
          <w:tcPr>
            <w:tcW w:type="dxa" w:w="2340"/>
          </w:tcPr>
          <w:p>
            <w:pPr>
              <w:spacing w:before="60" w:after="60"/>
            </w:pPr>
            <w:r>
              <w:rPr>
                <w:sz w:val="17"/>
              </w:rPr>
              <w:t>template_syntax</w:t>
            </w:r>
          </w:p>
        </w:tc>
        <w:tc>
          <w:tcPr>
            <w:tcW w:type="dxa" w:w="2340"/>
          </w:tcPr>
          <w:p>
            <w:pPr>
              <w:spacing w:before="60" w:after="60"/>
            </w:pPr>
            <w:r>
              <w:rPr>
                <w:sz w:val="17"/>
              </w:rPr>
              <w:t>Malformed Jinja2 syntax (unclosed tags, unexpected tokens)</w:t>
            </w:r>
          </w:p>
        </w:tc>
      </w:tr>
      <w:tr>
        <w:tc>
          <w:tcPr>
            <w:tcW w:type="dxa" w:w="2340"/>
            <w:shd w:fill="F8FAFC"/>
          </w:tcPr>
          <w:p>
            <w:pPr>
              <w:spacing w:before="60" w:after="60"/>
            </w:pPr>
            <w:r>
              <w:rPr>
                <w:b/>
                <w:sz w:val="17"/>
              </w:rPr>
              <w:t>CT121</w:t>
            </w:r>
          </w:p>
        </w:tc>
        <w:tc>
          <w:tcPr>
            <w:tcW w:type="dxa" w:w="2340"/>
            <w:shd w:fill="F8FAFC"/>
          </w:tcPr>
          <w:p>
            <w:pPr>
              <w:spacing w:before="60" w:after="60"/>
            </w:pPr>
            <w:r>
              <w:rPr>
                <w:b/>
                <w:color w:val="B45309"/>
                <w:sz w:val="17"/>
              </w:rPr>
              <w:t>WARNING</w:t>
            </w:r>
          </w:p>
        </w:tc>
        <w:tc>
          <w:tcPr>
            <w:tcW w:type="dxa" w:w="2340"/>
            <w:shd w:fill="F8FAFC"/>
          </w:tcPr>
          <w:p>
            <w:pPr>
              <w:spacing w:before="60" w:after="60"/>
            </w:pPr>
            <w:r>
              <w:rPr>
                <w:sz w:val="17"/>
              </w:rPr>
              <w:t>template_syntax</w:t>
            </w:r>
          </w:p>
        </w:tc>
        <w:tc>
          <w:tcPr>
            <w:tcW w:type="dxa" w:w="2340"/>
            <w:shd w:fill="F8FAFC"/>
          </w:tcPr>
          <w:p>
            <w:pPr>
              <w:spacing w:before="60" w:after="60"/>
            </w:pPr>
            <w:r>
              <w:rPr>
                <w:sz w:val="17"/>
              </w:rPr>
              <w:t>Chat template size exceeds configured safe ceiling (MAX_TEMPLATE_BYTES = 256 KB)</w:t>
            </w:r>
          </w:p>
        </w:tc>
      </w:tr>
      <w:tr>
        <w:tc>
          <w:tcPr>
            <w:tcW w:type="dxa" w:w="2340"/>
          </w:tcPr>
          <w:p>
            <w:pPr>
              <w:spacing w:before="60" w:after="60"/>
            </w:pPr>
            <w:r>
              <w:rPr>
                <w:b/>
                <w:sz w:val="17"/>
              </w:rPr>
              <w:t>CT122</w:t>
            </w:r>
          </w:p>
        </w:tc>
        <w:tc>
          <w:tcPr>
            <w:tcW w:type="dxa" w:w="2340"/>
          </w:tcPr>
          <w:p>
            <w:pPr>
              <w:spacing w:before="60" w:after="60"/>
            </w:pPr>
            <w:r>
              <w:rPr>
                <w:b/>
                <w:color w:val="B45309"/>
                <w:sz w:val="17"/>
              </w:rPr>
              <w:t>WARNING</w:t>
            </w:r>
          </w:p>
        </w:tc>
        <w:tc>
          <w:tcPr>
            <w:tcW w:type="dxa" w:w="2340"/>
          </w:tcPr>
          <w:p>
            <w:pPr>
              <w:spacing w:before="60" w:after="60"/>
            </w:pPr>
            <w:r>
              <w:rPr>
                <w:sz w:val="17"/>
              </w:rPr>
              <w:t>template_syntax</w:t>
            </w:r>
          </w:p>
        </w:tc>
        <w:tc>
          <w:tcPr>
            <w:tcW w:type="dxa" w:w="2340"/>
          </w:tcPr>
          <w:p>
            <w:pPr>
              <w:spacing w:before="60" w:after="60"/>
            </w:pPr>
            <w:r>
              <w:rPr>
                <w:sz w:val="17"/>
              </w:rPr>
              <w:t>Excessive AST nesting depth (MAX_TEMPLATE_AST_DEPTH = 50)</w:t>
            </w:r>
          </w:p>
        </w:tc>
      </w:tr>
      <w:tr>
        <w:tc>
          <w:tcPr>
            <w:tcW w:type="dxa" w:w="2340"/>
            <w:shd w:fill="F8FAFC"/>
          </w:tcPr>
          <w:p>
            <w:pPr>
              <w:spacing w:before="60" w:after="60"/>
            </w:pPr>
            <w:r>
              <w:rPr>
                <w:b/>
                <w:sz w:val="17"/>
              </w:rPr>
              <w:t>CT130</w:t>
            </w:r>
          </w:p>
        </w:tc>
        <w:tc>
          <w:tcPr>
            <w:tcW w:type="dxa" w:w="2340"/>
            <w:shd w:fill="F8FAFC"/>
          </w:tcPr>
          <w:p>
            <w:pPr>
              <w:spacing w:before="60" w:after="60"/>
            </w:pPr>
            <w:r>
              <w:rPr>
                <w:color w:val="0369A1"/>
                <w:sz w:val="17"/>
              </w:rPr>
              <w:t>INFO</w:t>
            </w:r>
          </w:p>
        </w:tc>
        <w:tc>
          <w:tcPr>
            <w:tcW w:type="dxa" w:w="2340"/>
            <w:shd w:fill="F8FAFC"/>
          </w:tcPr>
          <w:p>
            <w:pPr>
              <w:spacing w:before="60" w:after="60"/>
            </w:pPr>
            <w:r>
              <w:rPr>
                <w:sz w:val="17"/>
              </w:rPr>
              <w:t>template_reference</w:t>
            </w:r>
          </w:p>
        </w:tc>
        <w:tc>
          <w:tcPr>
            <w:tcW w:type="dxa" w:w="2340"/>
            <w:shd w:fill="F8FAFC"/>
          </w:tcPr>
          <w:p>
            <w:pPr>
              <w:spacing w:before="60" w:after="60"/>
            </w:pPr>
            <w:r>
              <w:rPr>
                <w:sz w:val="17"/>
              </w:rPr>
              <w:t>Matches canonical reference template (ChatML, Llama-2/3, Mistral, Gemma, Phi-3)</w:t>
            </w:r>
          </w:p>
        </w:tc>
      </w:tr>
      <w:tr>
        <w:tc>
          <w:tcPr>
            <w:tcW w:type="dxa" w:w="2340"/>
          </w:tcPr>
          <w:p>
            <w:pPr>
              <w:spacing w:before="60" w:after="60"/>
            </w:pPr>
            <w:r>
              <w:rPr>
                <w:b/>
                <w:sz w:val="17"/>
              </w:rPr>
              <w:t>CT131</w:t>
            </w:r>
          </w:p>
        </w:tc>
        <w:tc>
          <w:tcPr>
            <w:tcW w:type="dxa" w:w="2340"/>
          </w:tcPr>
          <w:p>
            <w:pPr>
              <w:spacing w:before="60" w:after="60"/>
            </w:pPr>
            <w:r>
              <w:rPr>
                <w:b/>
                <w:color w:val="B45309"/>
                <w:sz w:val="17"/>
              </w:rPr>
              <w:t>WARNING</w:t>
            </w:r>
          </w:p>
        </w:tc>
        <w:tc>
          <w:tcPr>
            <w:tcW w:type="dxa" w:w="2340"/>
          </w:tcPr>
          <w:p>
            <w:pPr>
              <w:spacing w:before="60" w:after="60"/>
            </w:pPr>
            <w:r>
              <w:rPr>
                <w:sz w:val="17"/>
              </w:rPr>
              <w:t>template_reference</w:t>
            </w:r>
          </w:p>
        </w:tc>
        <w:tc>
          <w:tcPr>
            <w:tcW w:type="dxa" w:w="2340"/>
          </w:tcPr>
          <w:p>
            <w:pPr>
              <w:spacing w:before="60" w:after="60"/>
            </w:pPr>
            <w:r>
              <w:rPr>
                <w:sz w:val="17"/>
              </w:rPr>
              <w:t>Template diverges from expected canonical reference for declared architecture</w:t>
            </w:r>
          </w:p>
        </w:tc>
      </w:tr>
      <w:tr>
        <w:tc>
          <w:tcPr>
            <w:tcW w:type="dxa" w:w="2340"/>
            <w:shd w:fill="F8FAFC"/>
          </w:tcPr>
          <w:p>
            <w:pPr>
              <w:spacing w:before="60" w:after="60"/>
            </w:pPr>
            <w:r>
              <w:rPr>
                <w:b/>
                <w:sz w:val="17"/>
              </w:rPr>
              <w:t>CT132</w:t>
            </w:r>
          </w:p>
        </w:tc>
        <w:tc>
          <w:tcPr>
            <w:tcW w:type="dxa" w:w="2340"/>
            <w:shd w:fill="F8FAFC"/>
          </w:tcPr>
          <w:p>
            <w:pPr>
              <w:spacing w:before="60" w:after="60"/>
            </w:pPr>
            <w:r>
              <w:rPr>
                <w:color w:val="0369A1"/>
                <w:sz w:val="17"/>
              </w:rPr>
              <w:t>INFO</w:t>
            </w:r>
          </w:p>
        </w:tc>
        <w:tc>
          <w:tcPr>
            <w:tcW w:type="dxa" w:w="2340"/>
            <w:shd w:fill="F8FAFC"/>
          </w:tcPr>
          <w:p>
            <w:pPr>
              <w:spacing w:before="60" w:after="60"/>
            </w:pPr>
            <w:r>
              <w:rPr>
                <w:sz w:val="17"/>
              </w:rPr>
              <w:t>template_reference</w:t>
            </w:r>
          </w:p>
        </w:tc>
        <w:tc>
          <w:tcPr>
            <w:tcW w:type="dxa" w:w="2340"/>
            <w:shd w:fill="F8FAFC"/>
          </w:tcPr>
          <w:p>
            <w:pPr>
              <w:spacing w:before="60" w:after="60"/>
            </w:pPr>
            <w:r>
              <w:rPr>
                <w:sz w:val="17"/>
              </w:rPr>
              <w:t>Custom chat template format detected; details preserved for review</w:t>
            </w:r>
          </w:p>
        </w:tc>
      </w:tr>
    </w:tbl>
    <w:p>
      <w:pPr>
        <w:spacing w:after="120"/>
      </w:pPr>
    </w:p>
    <w:p>
      <w:pPr>
        <w:pStyle w:val="Heading1"/>
      </w:pPr>
      <w:r>
        <w:rPr>
          <w:color w:val="1B365D"/>
          <w:sz w:val="30"/>
        </w:rPr>
        <w:t>5. Answers to Reviewer &amp; Committee Questions</w:t>
      </w:r>
    </w:p>
    <w:p>
      <w:pPr>
        <w:spacing w:before="80" w:after="40"/>
      </w:pPr>
      <w:r>
        <w:rPr>
          <w:b/>
          <w:color w:val="2B6CB0"/>
          <w:sz w:val="20"/>
        </w:rPr>
        <w:t>Q1: Why do you avoid using jinja2.sandbox.SandboxedEnvironment to render the template?</w:t>
      </w:r>
    </w:p>
    <w:p>
      <w:pPr>
        <w:spacing w:before="0" w:after="120"/>
      </w:pPr>
      <w:r>
        <w:rPr>
          <w:color w:val="2D3748"/>
          <w:sz w:val="19"/>
        </w:rPr>
        <w:t>Answer: Sandboxed rendering in Jinja still executes Python bytecode and has a long history of sandbox escape CVEs (e.g., via format string leaks or attribute bypasses). Furthermore, rendering requires constructing dummy messages and context variables. In contrast, static AST parsing (jinja2.Environment().parse()) inspects the syntax tree directly with mathematically zero runtime code execution risk.</w:t>
      </w:r>
    </w:p>
    <w:p>
      <w:pPr>
        <w:spacing w:before="80" w:after="40"/>
      </w:pPr>
      <w:r>
        <w:rPr>
          <w:b/>
          <w:color w:val="2B6CB0"/>
          <w:sz w:val="20"/>
        </w:rPr>
        <w:t>Q2: How do you differentiate legitimate custom chat templates from attacks?</w:t>
      </w:r>
    </w:p>
    <w:p>
      <w:pPr>
        <w:spacing w:before="0" w:after="120"/>
      </w:pPr>
      <w:r>
        <w:rPr>
          <w:color w:val="2D3748"/>
          <w:sz w:val="19"/>
        </w:rPr>
        <w:t>Answer: Slide 18 specifically notes that custom templates can be legitimate. ModelGuard does not mark unrecognised templates as malicious. Instead, it assigns [INFO] CT132 and preserves the extracted AST summary and tokens for human review. Only clear indicators of compromise (dunders, system execution calls, or backdoor phrases) raise WARNING or CRITICAL findings.</w:t>
      </w:r>
    </w:p>
    <w:p>
      <w:pPr>
        <w:spacing w:before="80" w:after="40"/>
      </w:pPr>
      <w:r>
        <w:rPr>
          <w:b/>
          <w:color w:val="2B6CB0"/>
          <w:sz w:val="20"/>
        </w:rPr>
        <w:t>Q3: Does Module 3 touch or modify Fahad’s parsing and structural analysis modules?</w:t>
      </w:r>
    </w:p>
    <w:p>
      <w:pPr>
        <w:spacing w:before="0" w:after="120"/>
      </w:pPr>
      <w:r>
        <w:rPr>
          <w:color w:val="2D3748"/>
          <w:sz w:val="19"/>
        </w:rPr>
        <w:t>Answer: No. Module 3 operates on the normalized ParsedModel contract and is fully isolated. Zero lines of existing parser or structure analyzer code are modified, maintaining strict modularity and regression safety.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