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60"/>
        <w:rPr/>
      </w:pPr>
      <w:r>
        <w:rPr/>
        <w:t>Temporal Feature Engineering &amp; LSTM Module — Notes</w:t>
      </w:r>
    </w:p>
    <w:p>
      <w:pPr>
        <w:pStyle w:val="Title"/>
        <w:spacing w:before="0" w:after="160"/>
        <w:rPr>
          <w:sz w:val="22"/>
          <w:szCs w:val="22"/>
        </w:rPr>
      </w:pPr>
      <w:r>
        <w:rPr>
          <w:sz w:val="22"/>
          <w:szCs w:val="22"/>
        </w:rPr>
        <w:t>Github: https://github.com/FahadAftab14/Phishing-Detection</w:t>
      </w:r>
    </w:p>
    <w:p>
      <w:pPr>
        <w:pStyle w:val="Heading1"/>
        <w:spacing w:before="200" w:after="100"/>
        <w:rPr/>
      </w:pPr>
      <w:r>
        <w:rPr/>
        <w:t>1. Temporal Feature Engineering (Task 1)</w:t>
      </w:r>
    </w:p>
    <w:p>
      <w:pPr>
        <w:pStyle w:val="Normal"/>
        <w:spacing w:before="0" w:after="100"/>
        <w:rPr/>
      </w:pPr>
      <w:r>
        <w:rPr/>
        <w:t>Sender frequency, inter-arrival time, and burst-anomaly features were already built in the earlier feature engineering phase (sender_email_count, sender_active_days, sender_avg_daily_volume, interarrival_hours, interarrival_ratio, is_burst_anomaly).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Found temporal_anomaly / temporal_anomaly_reason had been dropped during the original dataset unification step, same issue as the earlier missing subject field. Fixed by re-merging from the raw Enron/Nazario files.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temporal_anomaly came back as constant zero across the entire dataset -- the original preprocessing had already quarantined anomalous-timestamp rows before this project phase, so nothing was left for this flag to catch. Kept in the feature set for consistency, but it currently contributes no signal.</w:t>
      </w:r>
    </w:p>
    <w:p>
      <w:pPr>
        <w:pStyle w:val="Heading1"/>
        <w:spacing w:before="200" w:after="100"/>
        <w:rPr/>
      </w:pPr>
      <w:r>
        <w:rPr/>
        <w:t>2. LSTM Temporal Module (Task 2)</w:t>
      </w:r>
    </w:p>
    <w:p>
      <w:pPr>
        <w:pStyle w:val="Normal"/>
        <w:spacing w:before="0" w:after="100"/>
        <w:rPr/>
      </w:pPr>
      <w:r>
        <w:rPr/>
        <w:t>Goal: model per-sender sending patterns as a sequence and produce a reusable embedding for the later fusion model (not a standalone classifier).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Built causal, per-sender sequences (max length 10, right-padded) from: log inter-arrival time, cyclically-encoded hour/day, weekend flag, burst anomaly, temporal anomaly.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Hit a crash from zero-length sequences: pandas' groupby silently drops rows with a missing sender key, so those rows kept an uninitialized length. Fixed by filling missing senders with a placeholder before grouping, plus a safety floor on sequence length.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Trained a 1-layer LSTM (hidden size 64) with a classification head, using pack_padded_sequence and weighted cross-entropy loss (class weight ~42.5 for phishing) purely to force the LSTM to encode label-relevant structure. 5 epochs, loss dropped steadily (0.408 to 0.326).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Classification head discarded after training; final hidden state (64-dim) extracted and saved per email as the reusable temporal embedding.</w:t>
      </w:r>
    </w:p>
    <w:p>
      <w:pPr>
        <w:pStyle w:val="Heading1"/>
        <w:spacing w:before="200" w:after="100"/>
        <w:rPr/>
      </w:pPr>
      <w:r>
        <w:rPr/>
        <w:t>3. Results</w:t>
      </w:r>
    </w:p>
    <w:p>
      <w:pPr>
        <w:pStyle w:val="Normal"/>
        <w:spacing w:before="0" w:after="100"/>
        <w:rPr/>
      </w:pPr>
      <w:r>
        <w:rPr/>
        <w:t>Standalone classification performance (head only, default 0.5 threshold, not meant for deployment as-is):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ROC-AUC: 0.9319 -- the embedding meaningfully separates the classes.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PR-AUC: 0.1506, phishing precision: 0.061, recall: 0.901 -- the aggressive class weight pushes the model to over-flag; roughly 16% of benign test emails get flagged as phishing at this threshold.</w:t>
      </w:r>
    </w:p>
    <w:p>
      <w:pPr>
        <w:pStyle w:val="Normal"/>
        <w:spacing w:before="0" w:after="100"/>
        <w:rPr/>
      </w:pPr>
      <w:r>
        <w:rPr/>
        <w:t>Low standalone precision is expected and acceptable here: this branch's only job is producing an embedding for fusion, not making a final call on its own. The strong ROC-AUC is the relevant number at this stage.</w:t>
      </w:r>
    </w:p>
    <w:p>
      <w:pPr>
        <w:pStyle w:val="Heading1"/>
        <w:spacing w:before="200" w:after="100"/>
        <w:rPr/>
      </w:pPr>
      <w:r>
        <w:rPr/>
        <w:t>4. Weaknesses, Gaps, and Plan of Action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Row-level train/test split, not sender-level: a sender's emails can appear in both train and test, so a sequence could implicitly reference data from across the split. Known and documented, not yet fixed -- would require rebuilding the split at the sender level and re-running all prior branches (contextual, temporal) against it for consistency.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temporal_anomaly currently contributes zero variance (see Task 1). No action needed now, but worth removing or replacing if this pipeline is reused on a dataset where anomalous timestamps were not pre-filtered.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MAX_SEQ_LEN = 10 was chosen arbitrarily, not tuned against sender history-length distribution. Should check the actual distribution of emails-per-sender and adjust if most senders are shorter or much longer than this.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Most Nazario (phishing) senders only send 1-2 emails total, so their sequences carry very little history -- the LSTM likely has much less to work with for phishing than for high-volume Enron senders. This is a real data limitation, not a bug, and should be noted in the discussion chapter.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The phishing class weight (42.5) was carried over directly from the class ratio without tuning specifically for this branch. Once the fusion model is built, worth revisiting whether a lighter weight here produces a more useful embedding.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Next step: build the behavioral branch (feed-forward network over synthetic domain/DKIM/IP features), then combine contextual + temporal + behavioral embeddings in the fusion model, where this branch's real contribution can finally be measured via ablation (with vs without the temporal embedding).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2</Pages>
  <Words>611</Words>
  <Characters>3587</Characters>
  <CharactersWithSpaces>4161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2026-07-30T07:27:15Z</dcterms:created>
  <dc:creator>Un-named</dc:creator>
  <dc:description/>
  <dc:language>en-US</dc:language>
  <cp:lastModifiedBy/>
  <dcterms:modified xsi:type="dcterms:W3CDTF">2026-08-02T20:21:09Z</dcterms:modified>
  <cp:revision>2</cp:revision>
  <dc:subject/>
  <dc:title/>
</cp:coreProperties>
</file>